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87" w:rsidRPr="00DA5DF9" w:rsidRDefault="00122187" w:rsidP="00122187">
      <w:pPr>
        <w:pStyle w:val="Heading3"/>
      </w:pPr>
      <w:r w:rsidRPr="00DA5DF9">
        <w:tab/>
      </w:r>
      <w:r w:rsidRPr="00DA5DF9">
        <w:rPr>
          <w:b w:val="0"/>
          <w:color w:val="FF0000"/>
        </w:rPr>
        <w:t>G7:</w:t>
      </w:r>
      <w:r w:rsidRPr="00DA5DF9">
        <w:t xml:space="preserve"> Leadership and Local Capacity</w:t>
      </w:r>
    </w:p>
    <w:p w:rsidR="00122187" w:rsidRPr="00DA5DF9" w:rsidRDefault="00122187" w:rsidP="00122187">
      <w:r w:rsidRPr="00DA5DF9">
        <w:t xml:space="preserve">Referencing the enhanced role of Kilkenny County Council in leading economic and community development in the future, the development of smarter </w:t>
      </w:r>
      <w:proofErr w:type="spellStart"/>
      <w:r w:rsidRPr="00DA5DF9">
        <w:t>sectoral</w:t>
      </w:r>
      <w:proofErr w:type="spellEnd"/>
      <w:r w:rsidRPr="00DA5DF9">
        <w:t xml:space="preserve"> and local networking forums within the business community will encourage a closer relationship between the agencies that support and regulate the local economic environment.</w:t>
      </w:r>
    </w:p>
    <w:p w:rsidR="00122187" w:rsidRPr="00DA5DF9" w:rsidRDefault="00122187" w:rsidP="00122187">
      <w:pPr>
        <w:pStyle w:val="Heading4"/>
      </w:pPr>
      <w:r w:rsidRPr="00DA5DF9">
        <w:rPr>
          <w:b w:val="0"/>
          <w:color w:val="FF0000"/>
        </w:rPr>
        <w:t>G7:</w:t>
      </w:r>
      <w:r w:rsidRPr="00DA5DF9">
        <w:t xml:space="preserve"> Actions Summary</w:t>
      </w:r>
    </w:p>
    <w:p w:rsidR="00122187" w:rsidRPr="00DA5DF9" w:rsidRDefault="00122187" w:rsidP="00122187">
      <w:r>
        <w:rPr>
          <w:b/>
        </w:rPr>
        <w:t>A39</w:t>
      </w:r>
      <w:r w:rsidRPr="00DA5DF9">
        <w:rPr>
          <w:b/>
        </w:rPr>
        <w:t>:</w:t>
      </w:r>
      <w:r w:rsidRPr="00DA5DF9">
        <w:t xml:space="preserve"> Work closely with the private sector in developing a county level approach to ensure that office and industrial developments can come on stream quickly.</w:t>
      </w:r>
    </w:p>
    <w:p w:rsidR="00122187" w:rsidRPr="00DA5DF9" w:rsidRDefault="00122187" w:rsidP="00122187">
      <w:r>
        <w:rPr>
          <w:b/>
        </w:rPr>
        <w:t>A40</w:t>
      </w:r>
      <w:r w:rsidRPr="00DA5DF9">
        <w:rPr>
          <w:b/>
        </w:rPr>
        <w:t>:</w:t>
      </w:r>
      <w:r w:rsidRPr="00DA5DF9">
        <w:t xml:space="preserve"> Ensure sufficient land for residential and industrial development and infrastructure is provided in the county as set out in the City/County Development Plan consistent with population targets and identified industrial needs.</w:t>
      </w:r>
    </w:p>
    <w:p w:rsidR="00122187" w:rsidRPr="00DA5DF9" w:rsidRDefault="00122187" w:rsidP="00122187">
      <w:r>
        <w:rPr>
          <w:b/>
        </w:rPr>
        <w:t>A41</w:t>
      </w:r>
      <w:r w:rsidRPr="00DA5DF9">
        <w:rPr>
          <w:b/>
        </w:rPr>
        <w:t>:</w:t>
      </w:r>
      <w:r w:rsidRPr="00DA5DF9">
        <w:t xml:space="preserve"> Establish an inter-agency working group to ensure strategic and efficient support of LECP action implementation.</w:t>
      </w:r>
    </w:p>
    <w:p w:rsidR="00DB5D78" w:rsidRDefault="00DB5D78"/>
    <w:p w:rsidR="009A28FA" w:rsidRDefault="009A28FA"/>
    <w:tbl>
      <w:tblPr>
        <w:tblW w:w="150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1821"/>
        <w:gridCol w:w="1814"/>
        <w:gridCol w:w="1143"/>
        <w:gridCol w:w="1890"/>
        <w:gridCol w:w="900"/>
        <w:gridCol w:w="1530"/>
        <w:gridCol w:w="4437"/>
      </w:tblGrid>
      <w:tr w:rsidR="009A28FA" w:rsidRPr="00DA5DF9" w:rsidTr="00CA4AAA">
        <w:tc>
          <w:tcPr>
            <w:tcW w:w="1495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b/>
                <w:lang w:val="en-GB"/>
              </w:rPr>
            </w:pPr>
            <w:r w:rsidRPr="00DA5DF9">
              <w:rPr>
                <w:b/>
                <w:lang w:val="en-GB"/>
              </w:rPr>
              <w:t>High-Level Goal</w:t>
            </w:r>
          </w:p>
        </w:tc>
        <w:tc>
          <w:tcPr>
            <w:tcW w:w="1821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b/>
                <w:lang w:val="en-GB"/>
              </w:rPr>
            </w:pPr>
            <w:r w:rsidRPr="00DA5DF9">
              <w:rPr>
                <w:b/>
                <w:lang w:val="en-GB"/>
              </w:rPr>
              <w:t>High-Level Outcome</w:t>
            </w:r>
          </w:p>
        </w:tc>
        <w:tc>
          <w:tcPr>
            <w:tcW w:w="1814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b/>
                <w:lang w:val="en-GB"/>
              </w:rPr>
            </w:pPr>
            <w:r w:rsidRPr="00DA5DF9">
              <w:rPr>
                <w:b/>
                <w:lang w:val="en-GB"/>
              </w:rPr>
              <w:t>Objective</w:t>
            </w:r>
          </w:p>
        </w:tc>
        <w:tc>
          <w:tcPr>
            <w:tcW w:w="1143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Co-</w:t>
            </w:r>
            <w:proofErr w:type="spellStart"/>
            <w:r>
              <w:rPr>
                <w:b/>
                <w:lang w:val="en-GB"/>
              </w:rPr>
              <w:t>Ordinating</w:t>
            </w:r>
            <w:proofErr w:type="spellEnd"/>
            <w:r>
              <w:rPr>
                <w:b/>
                <w:lang w:val="en-GB"/>
              </w:rPr>
              <w:t xml:space="preserve"> Body</w:t>
            </w:r>
          </w:p>
        </w:tc>
        <w:tc>
          <w:tcPr>
            <w:tcW w:w="189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b/>
                <w:lang w:val="en-GB"/>
              </w:rPr>
            </w:pPr>
            <w:r w:rsidRPr="00DA5DF9">
              <w:rPr>
                <w:b/>
                <w:lang w:val="en-GB"/>
              </w:rPr>
              <w:t>Key Partner Organisations</w:t>
            </w:r>
          </w:p>
        </w:tc>
        <w:tc>
          <w:tcPr>
            <w:tcW w:w="90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jc w:val="center"/>
              <w:rPr>
                <w:b/>
                <w:lang w:val="en-GB"/>
              </w:rPr>
            </w:pPr>
            <w:r w:rsidRPr="00DA5DF9">
              <w:rPr>
                <w:b/>
                <w:lang w:val="en-GB"/>
              </w:rPr>
              <w:t>Timeframe</w:t>
            </w:r>
          </w:p>
        </w:tc>
        <w:tc>
          <w:tcPr>
            <w:tcW w:w="153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b/>
                <w:lang w:val="en-GB"/>
              </w:rPr>
            </w:pPr>
            <w:r w:rsidRPr="00DA5DF9">
              <w:rPr>
                <w:b/>
                <w:lang w:val="en-GB"/>
              </w:rPr>
              <w:t>Project Milestones</w:t>
            </w:r>
          </w:p>
        </w:tc>
        <w:tc>
          <w:tcPr>
            <w:tcW w:w="4437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b/>
                <w:lang w:val="en-GB"/>
              </w:rPr>
            </w:pPr>
            <w:r w:rsidRPr="00DA5DF9">
              <w:rPr>
                <w:b/>
                <w:lang w:val="en-GB"/>
              </w:rPr>
              <w:t>Actions</w:t>
            </w:r>
          </w:p>
        </w:tc>
      </w:tr>
      <w:tr w:rsidR="009A28FA" w:rsidRPr="00DA5DF9" w:rsidTr="00CA4AAA">
        <w:tc>
          <w:tcPr>
            <w:tcW w:w="1495" w:type="dxa"/>
            <w:vMerge w:val="restart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b/>
                <w:lang w:val="en-GB"/>
              </w:rPr>
              <w:t>G7:</w:t>
            </w:r>
            <w:r w:rsidRPr="00DA5DF9">
              <w:rPr>
                <w:lang w:val="en-GB"/>
              </w:rPr>
              <w:t xml:space="preserve"> Leadership and Local Capacity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 xml:space="preserve">Optimisation of the role of the County Council to prioritise economic development.  </w:t>
            </w:r>
          </w:p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 xml:space="preserve">A number of tools will be used focussing on the development of smarter </w:t>
            </w:r>
            <w:proofErr w:type="spellStart"/>
            <w:r w:rsidRPr="00DA5DF9">
              <w:rPr>
                <w:lang w:val="en-GB"/>
              </w:rPr>
              <w:t>sectoral</w:t>
            </w:r>
            <w:proofErr w:type="spellEnd"/>
            <w:r w:rsidRPr="00DA5DF9">
              <w:rPr>
                <w:lang w:val="en-GB"/>
              </w:rPr>
              <w:t xml:space="preserve"> and local networking forums within the business community. 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b/>
                <w:lang w:val="en-GB"/>
              </w:rPr>
              <w:t>O8:</w:t>
            </w:r>
            <w:r w:rsidRPr="00DA5DF9">
              <w:rPr>
                <w:lang w:val="en-GB"/>
              </w:rPr>
              <w:t xml:space="preserve"> Develop leadership capacity in promoting economic and integrated development.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>KCC</w:t>
            </w:r>
          </w:p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>KLEO</w:t>
            </w:r>
          </w:p>
        </w:tc>
        <w:tc>
          <w:tcPr>
            <w:tcW w:w="189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>KCC Planning</w:t>
            </w:r>
          </w:p>
        </w:tc>
        <w:tc>
          <w:tcPr>
            <w:tcW w:w="90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jc w:val="center"/>
              <w:rPr>
                <w:lang w:val="en-GB"/>
              </w:rPr>
            </w:pPr>
            <w:r w:rsidRPr="00DA5DF9">
              <w:rPr>
                <w:lang w:val="en-GB"/>
              </w:rPr>
              <w:t>2016-2021</w:t>
            </w:r>
          </w:p>
        </w:tc>
        <w:tc>
          <w:tcPr>
            <w:tcW w:w="153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 xml:space="preserve">Annual prioritisation of key actions within LECP. </w:t>
            </w:r>
          </w:p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>Review of progress.</w:t>
            </w:r>
          </w:p>
        </w:tc>
        <w:tc>
          <w:tcPr>
            <w:tcW w:w="4437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>39</w:t>
            </w:r>
            <w:r w:rsidRPr="00DA5DF9">
              <w:rPr>
                <w:b/>
                <w:lang w:val="en-GB"/>
              </w:rPr>
              <w:t>:</w:t>
            </w:r>
            <w:r w:rsidRPr="00DA5DF9">
              <w:rPr>
                <w:lang w:val="en-GB"/>
              </w:rPr>
              <w:t xml:space="preserve"> Work closely with the private sector in developing a county level approach to ensure that office and industrial developments can come on stream quickly.</w:t>
            </w:r>
          </w:p>
        </w:tc>
      </w:tr>
      <w:tr w:rsidR="009A28FA" w:rsidRPr="00DA5DF9" w:rsidTr="00CA4AAA">
        <w:tc>
          <w:tcPr>
            <w:tcW w:w="1495" w:type="dxa"/>
            <w:vMerge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>KCC Planning</w:t>
            </w:r>
          </w:p>
        </w:tc>
        <w:tc>
          <w:tcPr>
            <w:tcW w:w="90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jc w:val="center"/>
              <w:rPr>
                <w:lang w:val="en-GB"/>
              </w:rPr>
            </w:pPr>
            <w:r w:rsidRPr="00DA5DF9">
              <w:rPr>
                <w:lang w:val="en-GB"/>
              </w:rPr>
              <w:t>2016-2021</w:t>
            </w:r>
          </w:p>
        </w:tc>
        <w:tc>
          <w:tcPr>
            <w:tcW w:w="153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>Setting and achievement of targets.</w:t>
            </w:r>
          </w:p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>Cross-departmental collaboration.</w:t>
            </w:r>
          </w:p>
        </w:tc>
        <w:tc>
          <w:tcPr>
            <w:tcW w:w="4437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>
              <w:rPr>
                <w:b/>
                <w:lang w:val="en-GB"/>
              </w:rPr>
              <w:t>A40</w:t>
            </w:r>
            <w:r w:rsidRPr="00DA5DF9">
              <w:rPr>
                <w:b/>
                <w:lang w:val="en-GB"/>
              </w:rPr>
              <w:t>:</w:t>
            </w:r>
            <w:r w:rsidRPr="00DA5DF9">
              <w:rPr>
                <w:lang w:val="en-GB"/>
              </w:rPr>
              <w:t xml:space="preserve"> Ensure sufficient land for residential and industrial development and infrastructure is provided in the county as set out in the City/County Development Plan consistent with population targets and identified industrial needs.</w:t>
            </w:r>
          </w:p>
        </w:tc>
      </w:tr>
      <w:tr w:rsidR="009A28FA" w:rsidRPr="00DA5DF9" w:rsidTr="00CA4AAA">
        <w:tc>
          <w:tcPr>
            <w:tcW w:w="1495" w:type="dxa"/>
            <w:vMerge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 xml:space="preserve">IDA; EI; Kilkenny Chamber of Commerce; IBEC; ICTU; </w:t>
            </w:r>
          </w:p>
        </w:tc>
        <w:tc>
          <w:tcPr>
            <w:tcW w:w="90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jc w:val="center"/>
              <w:rPr>
                <w:lang w:val="en-GB"/>
              </w:rPr>
            </w:pPr>
            <w:r w:rsidRPr="00DA5DF9">
              <w:rPr>
                <w:lang w:val="en-GB"/>
              </w:rPr>
              <w:t>2015-2021</w:t>
            </w:r>
          </w:p>
        </w:tc>
        <w:tc>
          <w:tcPr>
            <w:tcW w:w="1530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>Engagement of agencies.</w:t>
            </w:r>
          </w:p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>No. of actions progressed and completed.</w:t>
            </w:r>
          </w:p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 w:rsidRPr="00DA5DF9">
              <w:rPr>
                <w:lang w:val="en-GB"/>
              </w:rPr>
              <w:t xml:space="preserve">No. of integrated actions progressed. </w:t>
            </w:r>
          </w:p>
        </w:tc>
        <w:tc>
          <w:tcPr>
            <w:tcW w:w="4437" w:type="dxa"/>
            <w:shd w:val="clear" w:color="auto" w:fill="auto"/>
          </w:tcPr>
          <w:p w:rsidR="009A28FA" w:rsidRPr="00DA5DF9" w:rsidRDefault="009A28FA" w:rsidP="00CA4AAA">
            <w:pPr>
              <w:pStyle w:val="Table"/>
              <w:rPr>
                <w:lang w:val="en-GB"/>
              </w:rPr>
            </w:pPr>
            <w:r>
              <w:rPr>
                <w:b/>
                <w:lang w:val="en-GB"/>
              </w:rPr>
              <w:t>A41</w:t>
            </w:r>
            <w:r w:rsidRPr="00DA5DF9">
              <w:rPr>
                <w:b/>
                <w:lang w:val="en-GB"/>
              </w:rPr>
              <w:t>:</w:t>
            </w:r>
            <w:r w:rsidRPr="00DA5DF9">
              <w:rPr>
                <w:lang w:val="en-GB"/>
              </w:rPr>
              <w:t xml:space="preserve"> Establish an inter-agency working group to ensure strategic and efficient support of LECP action implementation.</w:t>
            </w:r>
          </w:p>
        </w:tc>
      </w:tr>
    </w:tbl>
    <w:p w:rsidR="009A28FA" w:rsidRDefault="009A28FA"/>
    <w:sectPr w:rsidR="009A28FA" w:rsidSect="009A28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22187"/>
    <w:rsid w:val="000D58A5"/>
    <w:rsid w:val="00122187"/>
    <w:rsid w:val="002F634D"/>
    <w:rsid w:val="006972BE"/>
    <w:rsid w:val="009A28FA"/>
    <w:rsid w:val="00B8522B"/>
    <w:rsid w:val="00DB5D78"/>
    <w:rsid w:val="00E742A9"/>
    <w:rsid w:val="00F2196A"/>
    <w:rsid w:val="00F8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87"/>
    <w:pPr>
      <w:spacing w:before="120" w:after="120" w:line="240" w:lineRule="auto"/>
      <w:ind w:left="720"/>
      <w:jc w:val="both"/>
    </w:pPr>
    <w:rPr>
      <w:rFonts w:ascii="Helvetica Neue" w:eastAsia="Cambria" w:hAnsi="Helvetica Neue" w:cs="Times New Roman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22187"/>
    <w:pPr>
      <w:keepNext/>
      <w:tabs>
        <w:tab w:val="left" w:pos="720"/>
      </w:tabs>
      <w:spacing w:before="240"/>
      <w:ind w:hanging="720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22187"/>
    <w:pPr>
      <w:keepNext/>
      <w:tabs>
        <w:tab w:val="left" w:pos="720"/>
        <w:tab w:val="left" w:pos="1440"/>
      </w:tabs>
      <w:spacing w:before="24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2187"/>
    <w:rPr>
      <w:rFonts w:ascii="Helvetica Neue" w:eastAsia="Cambria" w:hAnsi="Helvetica Neue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22187"/>
    <w:rPr>
      <w:rFonts w:ascii="Helvetica Neue" w:eastAsia="Cambria" w:hAnsi="Helvetica Neue" w:cs="Times New Roman"/>
      <w:b/>
      <w:szCs w:val="24"/>
      <w:lang w:val="en-GB"/>
    </w:rPr>
  </w:style>
  <w:style w:type="paragraph" w:customStyle="1" w:styleId="Table">
    <w:name w:val="Table"/>
    <w:basedOn w:val="Normal"/>
    <w:qFormat/>
    <w:rsid w:val="009A28FA"/>
    <w:pPr>
      <w:spacing w:before="40" w:after="40"/>
      <w:ind w:left="0"/>
      <w:jc w:val="left"/>
    </w:pPr>
    <w:rPr>
      <w:rFonts w:ascii="Arial Narrow" w:hAnsi="Arial Narrow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>Kilkenny County Council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Stephenoconnor</dc:creator>
  <cp:lastModifiedBy>Stephenoconnor</cp:lastModifiedBy>
  <cp:revision>2</cp:revision>
  <dcterms:created xsi:type="dcterms:W3CDTF">2015-11-05T23:03:00Z</dcterms:created>
  <dcterms:modified xsi:type="dcterms:W3CDTF">2015-11-05T23:11:00Z</dcterms:modified>
</cp:coreProperties>
</file>