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DD" w:rsidRPr="00E8792D" w:rsidRDefault="007F0ADD" w:rsidP="007F0ADD">
      <w:pPr>
        <w:pStyle w:val="Default"/>
        <w:rPr>
          <w:rFonts w:asciiTheme="minorHAnsi" w:hAnsiTheme="minorHAnsi"/>
        </w:rPr>
      </w:pPr>
    </w:p>
    <w:p w:rsidR="007F0ADD" w:rsidRPr="00E8792D" w:rsidRDefault="007F0ADD" w:rsidP="007F0ADD">
      <w:pPr>
        <w:pStyle w:val="Default"/>
        <w:rPr>
          <w:rFonts w:asciiTheme="minorHAnsi" w:hAnsiTheme="minorHAnsi"/>
          <w:color w:val="15355C"/>
          <w:sz w:val="40"/>
          <w:szCs w:val="40"/>
        </w:rPr>
      </w:pPr>
      <w:r w:rsidRPr="00E8792D">
        <w:rPr>
          <w:rFonts w:asciiTheme="minorHAnsi" w:hAnsiTheme="minorHAnsi"/>
        </w:rPr>
        <w:t xml:space="preserve"> </w:t>
      </w:r>
    </w:p>
    <w:p w:rsidR="007F0ADD" w:rsidRPr="00E8792D" w:rsidRDefault="00071011" w:rsidP="007F0ADD">
      <w:pPr>
        <w:pStyle w:val="Default"/>
        <w:rPr>
          <w:rFonts w:asciiTheme="minorHAnsi" w:hAnsiTheme="minorHAnsi"/>
          <w:color w:val="15355C"/>
          <w:sz w:val="40"/>
          <w:szCs w:val="40"/>
        </w:rPr>
      </w:pPr>
      <w:r>
        <w:rPr>
          <w:rFonts w:asciiTheme="minorHAnsi" w:hAnsiTheme="minorHAnsi"/>
          <w:color w:val="15355C"/>
          <w:sz w:val="40"/>
          <w:szCs w:val="40"/>
        </w:rPr>
        <w:t>Waterford to New Ross Greenway</w:t>
      </w:r>
      <w:r w:rsidR="004B1E6B">
        <w:rPr>
          <w:rFonts w:asciiTheme="minorHAnsi" w:hAnsiTheme="minorHAnsi"/>
          <w:color w:val="15355C"/>
          <w:sz w:val="40"/>
          <w:szCs w:val="40"/>
        </w:rPr>
        <w:t xml:space="preserve"> at Aylwardstown</w:t>
      </w:r>
    </w:p>
    <w:p w:rsidR="007F0ADD" w:rsidRPr="00E8792D" w:rsidRDefault="007F0ADD" w:rsidP="007F0ADD">
      <w:pPr>
        <w:pStyle w:val="Default"/>
        <w:rPr>
          <w:rFonts w:asciiTheme="minorHAnsi" w:hAnsiTheme="minorHAnsi"/>
          <w:b/>
          <w:bCs/>
          <w:color w:val="15355C"/>
          <w:sz w:val="42"/>
          <w:szCs w:val="42"/>
        </w:rPr>
      </w:pPr>
    </w:p>
    <w:p w:rsidR="007F0ADD" w:rsidRPr="00E8792D" w:rsidRDefault="007F0ADD" w:rsidP="007F0ADD">
      <w:pPr>
        <w:pStyle w:val="Default"/>
        <w:rPr>
          <w:rFonts w:asciiTheme="minorHAnsi" w:hAnsiTheme="minorHAnsi"/>
          <w:color w:val="15355C"/>
          <w:sz w:val="42"/>
          <w:szCs w:val="42"/>
        </w:rPr>
      </w:pPr>
      <w:r w:rsidRPr="00E8792D">
        <w:rPr>
          <w:rFonts w:asciiTheme="minorHAnsi" w:hAnsiTheme="minorHAnsi"/>
          <w:b/>
          <w:bCs/>
          <w:color w:val="15355C"/>
          <w:sz w:val="42"/>
          <w:szCs w:val="42"/>
        </w:rPr>
        <w:t xml:space="preserve">SCREENING FOR APPROPRIATE ASSESSMENT </w:t>
      </w: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930CF7" w:rsidRDefault="00930CF7" w:rsidP="007F0ADD">
      <w:pPr>
        <w:pStyle w:val="Default"/>
        <w:rPr>
          <w:rFonts w:asciiTheme="minorHAnsi" w:hAnsiTheme="minorHAnsi" w:cs="Calibri"/>
          <w:color w:val="7C7C7C"/>
          <w:sz w:val="28"/>
          <w:szCs w:val="28"/>
        </w:rPr>
      </w:pPr>
    </w:p>
    <w:p w:rsidR="007F0ADD" w:rsidRPr="00E8792D" w:rsidRDefault="007F0ADD" w:rsidP="007F0ADD">
      <w:pPr>
        <w:pStyle w:val="Default"/>
        <w:rPr>
          <w:rFonts w:asciiTheme="minorHAnsi" w:hAnsiTheme="minorHAnsi" w:cs="Calibri"/>
          <w:color w:val="7C7C7C"/>
          <w:sz w:val="28"/>
          <w:szCs w:val="28"/>
        </w:rPr>
      </w:pPr>
      <w:r w:rsidRPr="00E8792D">
        <w:rPr>
          <w:rFonts w:asciiTheme="minorHAnsi" w:hAnsiTheme="minorHAnsi" w:cs="Calibri"/>
          <w:color w:val="7C7C7C"/>
          <w:sz w:val="28"/>
          <w:szCs w:val="28"/>
        </w:rPr>
        <w:t xml:space="preserve">Planning Department </w:t>
      </w:r>
    </w:p>
    <w:p w:rsidR="007F0ADD" w:rsidRPr="00E8792D" w:rsidRDefault="007F0ADD" w:rsidP="007F0ADD">
      <w:pPr>
        <w:pStyle w:val="Default"/>
        <w:rPr>
          <w:rFonts w:asciiTheme="minorHAnsi" w:hAnsiTheme="minorHAnsi" w:cs="Calibri"/>
          <w:color w:val="7C7C7C"/>
          <w:sz w:val="28"/>
          <w:szCs w:val="28"/>
        </w:rPr>
      </w:pPr>
      <w:r w:rsidRPr="00E8792D">
        <w:rPr>
          <w:rFonts w:asciiTheme="minorHAnsi" w:hAnsiTheme="minorHAnsi" w:cs="Calibri"/>
          <w:color w:val="7C7C7C"/>
          <w:sz w:val="28"/>
          <w:szCs w:val="28"/>
        </w:rPr>
        <w:t xml:space="preserve">Kilkenny County Council </w:t>
      </w:r>
    </w:p>
    <w:p w:rsidR="007F0ADD" w:rsidRPr="00E8792D" w:rsidRDefault="00191326" w:rsidP="007F0ADD">
      <w:pPr>
        <w:pStyle w:val="Default"/>
        <w:rPr>
          <w:rFonts w:asciiTheme="minorHAnsi" w:hAnsiTheme="minorHAnsi" w:cs="Calibri"/>
          <w:color w:val="7C7C7C"/>
          <w:sz w:val="28"/>
          <w:szCs w:val="28"/>
        </w:rPr>
      </w:pPr>
      <w:r>
        <w:rPr>
          <w:rFonts w:asciiTheme="minorHAnsi" w:hAnsiTheme="minorHAnsi" w:cs="Calibri"/>
          <w:color w:val="7C7C7C"/>
          <w:sz w:val="28"/>
          <w:szCs w:val="28"/>
        </w:rPr>
        <w:t xml:space="preserve">January </w:t>
      </w:r>
      <w:r w:rsidR="00071011">
        <w:rPr>
          <w:rFonts w:asciiTheme="minorHAnsi" w:hAnsiTheme="minorHAnsi" w:cs="Calibri"/>
          <w:color w:val="7C7C7C"/>
          <w:sz w:val="28"/>
          <w:szCs w:val="28"/>
        </w:rPr>
        <w:t>2018</w:t>
      </w:r>
      <w:r w:rsidR="007F0ADD" w:rsidRPr="00E8792D">
        <w:rPr>
          <w:rFonts w:asciiTheme="minorHAnsi" w:hAnsiTheme="minorHAnsi" w:cs="Calibri"/>
          <w:color w:val="7C7C7C"/>
          <w:sz w:val="28"/>
          <w:szCs w:val="28"/>
        </w:rPr>
        <w:t xml:space="preserve"> </w:t>
      </w:r>
    </w:p>
    <w:p w:rsidR="007F0ADD" w:rsidRPr="00E8792D" w:rsidRDefault="007F0ADD" w:rsidP="007F0ADD">
      <w:pPr>
        <w:pStyle w:val="Default"/>
        <w:rPr>
          <w:rFonts w:asciiTheme="minorHAnsi" w:hAnsiTheme="minorHAnsi" w:cs="Calibri"/>
          <w:color w:val="001E5A"/>
          <w:sz w:val="48"/>
          <w:szCs w:val="48"/>
        </w:rPr>
      </w:pPr>
    </w:p>
    <w:p w:rsidR="007F0ADD" w:rsidRPr="00E8792D" w:rsidRDefault="007F0ADD" w:rsidP="007F0ADD">
      <w:pPr>
        <w:pStyle w:val="Default"/>
        <w:rPr>
          <w:rFonts w:asciiTheme="minorHAnsi" w:hAnsiTheme="minorHAnsi" w:cs="Calibri"/>
          <w:color w:val="001E5A"/>
          <w:sz w:val="48"/>
          <w:szCs w:val="48"/>
        </w:rPr>
      </w:pPr>
    </w:p>
    <w:p w:rsidR="007F0ADD" w:rsidRPr="00E8792D" w:rsidRDefault="007F0ADD" w:rsidP="007F0ADD">
      <w:pPr>
        <w:pStyle w:val="Default"/>
        <w:rPr>
          <w:rFonts w:asciiTheme="minorHAnsi" w:hAnsiTheme="minorHAnsi" w:cs="Calibri"/>
          <w:color w:val="001E5A"/>
          <w:sz w:val="48"/>
          <w:szCs w:val="48"/>
        </w:rPr>
        <w:sectPr w:rsidR="007F0ADD" w:rsidRPr="00E8792D" w:rsidSect="008653BE">
          <w:headerReference w:type="default" r:id="rId8"/>
          <w:pgSz w:w="11906" w:h="16838"/>
          <w:pgMar w:top="1440" w:right="1440" w:bottom="1440" w:left="1440" w:header="708" w:footer="708" w:gutter="0"/>
          <w:cols w:space="708"/>
          <w:titlePg/>
          <w:docGrid w:linePitch="360"/>
        </w:sectPr>
      </w:pPr>
    </w:p>
    <w:p w:rsidR="007F0ADD" w:rsidRPr="00E8792D" w:rsidRDefault="007F0ADD" w:rsidP="007F0ADD">
      <w:pPr>
        <w:pStyle w:val="Heading1"/>
        <w:numPr>
          <w:ilvl w:val="0"/>
          <w:numId w:val="1"/>
        </w:numPr>
        <w:rPr>
          <w:rFonts w:asciiTheme="minorHAnsi" w:hAnsiTheme="minorHAnsi"/>
        </w:rPr>
      </w:pPr>
      <w:r w:rsidRPr="00E8792D">
        <w:rPr>
          <w:rFonts w:asciiTheme="minorHAnsi" w:hAnsiTheme="minorHAnsi"/>
        </w:rPr>
        <w:lastRenderedPageBreak/>
        <w:t xml:space="preserve">INTRODUCTION </w:t>
      </w:r>
    </w:p>
    <w:p w:rsidR="007F0ADD" w:rsidRPr="00E8792D" w:rsidRDefault="00071011" w:rsidP="007F0ADD">
      <w:pPr>
        <w:pStyle w:val="Heading2"/>
        <w:rPr>
          <w:rFonts w:asciiTheme="minorHAnsi" w:hAnsiTheme="minorHAnsi"/>
        </w:rPr>
      </w:pPr>
      <w:r>
        <w:rPr>
          <w:rFonts w:asciiTheme="minorHAnsi" w:hAnsiTheme="minorHAnsi"/>
        </w:rPr>
        <w:t>Waterford to New Ross Greenway</w:t>
      </w:r>
      <w:r w:rsidR="00086F39">
        <w:rPr>
          <w:rFonts w:asciiTheme="minorHAnsi" w:hAnsiTheme="minorHAnsi"/>
        </w:rPr>
        <w:t xml:space="preserve"> at Aylwardstown</w:t>
      </w:r>
    </w:p>
    <w:p w:rsidR="0067658C" w:rsidRDefault="0067658C" w:rsidP="0067658C">
      <w:pPr>
        <w:rPr>
          <w:rFonts w:cs="Calibri"/>
          <w:color w:val="000000"/>
        </w:rPr>
      </w:pPr>
      <w:r w:rsidRPr="00E8792D">
        <w:rPr>
          <w:rFonts w:cs="Calibri"/>
          <w:color w:val="000000"/>
        </w:rPr>
        <w:t xml:space="preserve">The </w:t>
      </w:r>
      <w:r>
        <w:rPr>
          <w:rFonts w:cs="Calibri"/>
          <w:color w:val="000000"/>
        </w:rPr>
        <w:t>Waterford to New Ross Greenway</w:t>
      </w:r>
      <w:r w:rsidRPr="00E8792D">
        <w:rPr>
          <w:rFonts w:cs="Calibri"/>
          <w:color w:val="000000"/>
        </w:rPr>
        <w:t xml:space="preserve"> was placed on public display from the </w:t>
      </w:r>
      <w:r w:rsidRPr="00191326">
        <w:t>9</w:t>
      </w:r>
      <w:r w:rsidRPr="00191326">
        <w:rPr>
          <w:vertAlign w:val="superscript"/>
        </w:rPr>
        <w:t>th</w:t>
      </w:r>
      <w:r w:rsidRPr="00191326">
        <w:t xml:space="preserve"> of December 2016 to Friday the 27</w:t>
      </w:r>
      <w:r w:rsidRPr="00191326">
        <w:rPr>
          <w:vertAlign w:val="superscript"/>
        </w:rPr>
        <w:t>th</w:t>
      </w:r>
      <w:r w:rsidRPr="00191326">
        <w:t xml:space="preserve"> of January 2017</w:t>
      </w:r>
      <w:r>
        <w:rPr>
          <w:b/>
        </w:rPr>
        <w:t xml:space="preserve">. </w:t>
      </w:r>
      <w:r w:rsidRPr="00E8792D">
        <w:rPr>
          <w:rFonts w:cs="Calibri"/>
          <w:color w:val="000000"/>
        </w:rPr>
        <w:t>A Screening for Appropriate Assessment (Screening for AA) was</w:t>
      </w:r>
      <w:r>
        <w:rPr>
          <w:rFonts w:cs="Calibri"/>
          <w:color w:val="000000"/>
        </w:rPr>
        <w:t xml:space="preserve"> placed on display as part of the Waterford to New Ross Greenway project.</w:t>
      </w:r>
      <w:r w:rsidR="00823968">
        <w:rPr>
          <w:rFonts w:cs="Calibri"/>
          <w:color w:val="000000"/>
        </w:rPr>
        <w:t xml:space="preserve"> </w:t>
      </w:r>
      <w:r w:rsidR="00823968">
        <w:t>This AA Screening report covers the location at Aylwardstown which is the subject of this revised part 8 application</w:t>
      </w:r>
      <w:r w:rsidR="00F43F00">
        <w:t>.</w:t>
      </w:r>
    </w:p>
    <w:p w:rsidR="00EF4AB3" w:rsidRDefault="007F0ADD" w:rsidP="000C4599">
      <w:pPr>
        <w:rPr>
          <w:rFonts w:cs="Calibri"/>
          <w:color w:val="000000"/>
        </w:rPr>
      </w:pPr>
      <w:r w:rsidRPr="00E8792D">
        <w:t xml:space="preserve">Material Alterations to the </w:t>
      </w:r>
      <w:r w:rsidR="00071011">
        <w:t>Waterford to New Ross Greenway</w:t>
      </w:r>
      <w:r w:rsidRPr="00E8792D">
        <w:t xml:space="preserve"> </w:t>
      </w:r>
      <w:r w:rsidR="00823968">
        <w:t xml:space="preserve">at Aylwardstown </w:t>
      </w:r>
      <w:r w:rsidR="00DC0562">
        <w:t>are</w:t>
      </w:r>
      <w:r w:rsidRPr="00E8792D">
        <w:t xml:space="preserve"> prop</w:t>
      </w:r>
      <w:r w:rsidR="00066921">
        <w:t>osed by Kilkenny County Council.</w:t>
      </w:r>
      <w:r w:rsidRPr="00E8792D">
        <w:t xml:space="preserve">  These alterations have arisen </w:t>
      </w:r>
      <w:r w:rsidR="00071011">
        <w:t>having regard</w:t>
      </w:r>
      <w:r w:rsidR="00071011" w:rsidRPr="00E8792D">
        <w:t xml:space="preserve"> </w:t>
      </w:r>
      <w:r w:rsidR="00071011">
        <w:t xml:space="preserve">to </w:t>
      </w:r>
      <w:r w:rsidR="00071011" w:rsidRPr="00E8792D">
        <w:t>submissions received dur</w:t>
      </w:r>
      <w:r w:rsidR="00071011">
        <w:t>ing the public display period for</w:t>
      </w:r>
      <w:r w:rsidR="00071011" w:rsidRPr="00E8792D">
        <w:t xml:space="preserve"> the </w:t>
      </w:r>
      <w:r w:rsidR="00071011">
        <w:t>Waterford to New Greenway</w:t>
      </w:r>
      <w:r w:rsidR="000C4599">
        <w:t xml:space="preserve"> </w:t>
      </w:r>
      <w:r w:rsidR="00086F39">
        <w:t xml:space="preserve">part 8 </w:t>
      </w:r>
      <w:r w:rsidR="000C4599">
        <w:rPr>
          <w:rFonts w:cs="Calibri"/>
          <w:color w:val="000000"/>
        </w:rPr>
        <w:t>application currently under consideration by Kilkenny County Council.</w:t>
      </w:r>
      <w:r w:rsidR="000C4599" w:rsidRPr="00E8792D">
        <w:rPr>
          <w:rFonts w:cs="Calibri"/>
          <w:color w:val="000000"/>
        </w:rPr>
        <w:t xml:space="preserve"> </w:t>
      </w:r>
    </w:p>
    <w:p w:rsidR="005E5C8C" w:rsidRPr="006D48DE" w:rsidRDefault="006D48DE" w:rsidP="00B76023">
      <w:r>
        <w:rPr>
          <w:rFonts w:cs="Arial"/>
        </w:rPr>
        <w:t>This</w:t>
      </w:r>
      <w:r w:rsidR="00DC0562" w:rsidRPr="001626B6">
        <w:rPr>
          <w:rFonts w:cs="Arial"/>
        </w:rPr>
        <w:t xml:space="preserve"> Part 8 planning process r</w:t>
      </w:r>
      <w:r w:rsidR="00066921">
        <w:rPr>
          <w:rFonts w:cs="Arial"/>
        </w:rPr>
        <w:t>efers to a short section of the</w:t>
      </w:r>
      <w:r w:rsidR="00DC0562" w:rsidRPr="001626B6">
        <w:rPr>
          <w:rFonts w:cs="Arial"/>
        </w:rPr>
        <w:t xml:space="preserve"> overall</w:t>
      </w:r>
      <w:r w:rsidR="00DC0562">
        <w:rPr>
          <w:rFonts w:cs="Arial"/>
        </w:rPr>
        <w:t xml:space="preserve"> Greenway which was </w:t>
      </w:r>
      <w:r w:rsidR="00DC0562" w:rsidRPr="001626B6">
        <w:rPr>
          <w:rFonts w:cs="Arial"/>
        </w:rPr>
        <w:t>to be diverted onto a local road at Aylwardstown to avoid passing in close proximity to a working farm.</w:t>
      </w:r>
      <w:r w:rsidR="00066921">
        <w:t xml:space="preserve"> The</w:t>
      </w:r>
      <w:r w:rsidR="00DC0562">
        <w:t xml:space="preserve"> section of the route </w:t>
      </w:r>
      <w:r w:rsidR="00E537EB">
        <w:t xml:space="preserve">now </w:t>
      </w:r>
      <w:r w:rsidR="00DC0562">
        <w:t>comprises 660 metres</w:t>
      </w:r>
      <w:r w:rsidR="00DC0562" w:rsidRPr="00B7571B">
        <w:t xml:space="preserve"> in length </w:t>
      </w:r>
      <w:r w:rsidR="00DC0562">
        <w:t xml:space="preserve">and will begin on the railway line at CH 11+900 adjacent to the railway under bridge UBJ443 at local road LP 7515-19 at Aylwardstown.  The route continues along the disused railway line adjacent to farm holdings to the level crossing, also at Aylwardstown, where a private laneway off local road no. L-7516-9, crosses the railway line at CH 12+500. </w:t>
      </w:r>
    </w:p>
    <w:p w:rsidR="0067658C" w:rsidRDefault="007F0ADD" w:rsidP="0067658C">
      <w:pPr>
        <w:rPr>
          <w:rFonts w:cs="Calibri"/>
          <w:color w:val="000000"/>
        </w:rPr>
      </w:pPr>
      <w:r w:rsidRPr="00E8792D">
        <w:t xml:space="preserve">In </w:t>
      </w:r>
      <w:r w:rsidR="00B76023" w:rsidRPr="00E8792D">
        <w:t>accordance</w:t>
      </w:r>
      <w:r w:rsidR="000C4599">
        <w:t xml:space="preserve"> with </w:t>
      </w:r>
      <w:r w:rsidR="00FA09F3">
        <w:t>requirements</w:t>
      </w:r>
      <w:r w:rsidR="00FA09F3" w:rsidRPr="00E8792D">
        <w:t xml:space="preserve"> </w:t>
      </w:r>
      <w:r w:rsidR="00FA09F3">
        <w:t xml:space="preserve">of the </w:t>
      </w:r>
      <w:r w:rsidRPr="00E8792D">
        <w:t>Planning and Development Act 2000</w:t>
      </w:r>
      <w:r w:rsidR="000725CC">
        <w:t xml:space="preserve"> </w:t>
      </w:r>
      <w:r w:rsidR="00823968">
        <w:t>(</w:t>
      </w:r>
      <w:r w:rsidR="000725CC">
        <w:t>as amended</w:t>
      </w:r>
      <w:r w:rsidR="00823968">
        <w:t>)</w:t>
      </w:r>
      <w:r w:rsidRPr="00E8792D">
        <w:t xml:space="preserve">, </w:t>
      </w:r>
      <w:r w:rsidR="0019486F">
        <w:rPr>
          <w:rFonts w:cs="Calibri"/>
          <w:color w:val="000000"/>
        </w:rPr>
        <w:t>t</w:t>
      </w:r>
      <w:r w:rsidRPr="00E8792D">
        <w:rPr>
          <w:rFonts w:cs="Calibri"/>
          <w:color w:val="000000"/>
        </w:rPr>
        <w:t xml:space="preserve">his report provides the assessment of the </w:t>
      </w:r>
      <w:r w:rsidR="00FA09F3">
        <w:rPr>
          <w:rFonts w:cs="Calibri"/>
          <w:color w:val="000000"/>
        </w:rPr>
        <w:t xml:space="preserve">Waterford to New Ross Greenway </w:t>
      </w:r>
      <w:r w:rsidR="005D1FBD">
        <w:rPr>
          <w:rFonts w:cs="Calibri"/>
          <w:color w:val="000000"/>
        </w:rPr>
        <w:t xml:space="preserve">at </w:t>
      </w:r>
      <w:r w:rsidR="00FA09F3">
        <w:rPr>
          <w:rFonts w:cs="Calibri"/>
          <w:color w:val="000000"/>
        </w:rPr>
        <w:t xml:space="preserve">Aylwardstown </w:t>
      </w:r>
      <w:r w:rsidRPr="00E8792D">
        <w:rPr>
          <w:rFonts w:cs="Calibri"/>
          <w:color w:val="000000"/>
        </w:rPr>
        <w:t>and screening of same</w:t>
      </w:r>
      <w:r w:rsidR="00FA09F3">
        <w:rPr>
          <w:rFonts w:cs="Calibri"/>
          <w:color w:val="000000"/>
        </w:rPr>
        <w:t>.</w:t>
      </w:r>
    </w:p>
    <w:p w:rsidR="00EF4AB3" w:rsidRPr="0067658C" w:rsidRDefault="0067658C" w:rsidP="0067658C">
      <w:pPr>
        <w:rPr>
          <w:b/>
          <w:color w:val="4F81BD" w:themeColor="accent1"/>
          <w:sz w:val="26"/>
          <w:szCs w:val="26"/>
        </w:rPr>
      </w:pPr>
      <w:r w:rsidRPr="0067658C">
        <w:rPr>
          <w:rFonts w:cs="Calibri"/>
          <w:b/>
          <w:color w:val="4F81BD" w:themeColor="accent1"/>
          <w:sz w:val="26"/>
          <w:szCs w:val="26"/>
        </w:rPr>
        <w:t xml:space="preserve">1.2 </w:t>
      </w:r>
      <w:r w:rsidR="00EF4AB3" w:rsidRPr="0067658C">
        <w:rPr>
          <w:b/>
          <w:color w:val="4F81BD" w:themeColor="accent1"/>
          <w:sz w:val="26"/>
          <w:szCs w:val="26"/>
        </w:rPr>
        <w:t>Description of Development</w:t>
      </w:r>
    </w:p>
    <w:p w:rsidR="00EF4AB3" w:rsidRDefault="00EF4AB3" w:rsidP="00EF4AB3">
      <w:pPr>
        <w:tabs>
          <w:tab w:val="left" w:pos="-90"/>
          <w:tab w:val="left" w:pos="180"/>
        </w:tabs>
      </w:pPr>
      <w:r w:rsidRPr="00B7571B">
        <w:t>The development of the disused railway line</w:t>
      </w:r>
      <w:r>
        <w:t xml:space="preserve"> on lands at Aylwardstown, Glenmore </w:t>
      </w:r>
      <w:r w:rsidRPr="00B7571B">
        <w:t>as a cycle and pedestrian route</w:t>
      </w:r>
      <w:r w:rsidR="00FA09F3">
        <w:t xml:space="preserve"> measuring approx 660met</w:t>
      </w:r>
      <w:r w:rsidR="007B255F">
        <w:t>e</w:t>
      </w:r>
      <w:r w:rsidR="00FA09F3">
        <w:t>rs in length as shown in site layout plan drawing which accompanies the part 8 appl</w:t>
      </w:r>
      <w:r w:rsidR="007B255F">
        <w:t>ic</w:t>
      </w:r>
      <w:r w:rsidR="00FA09F3">
        <w:t>ation.</w:t>
      </w:r>
      <w:r>
        <w:t xml:space="preserve">  This section of proposed Greenway forms part of a larger proposed Greenway of some 22 km following the disused railway line, extending from Ferrybank, South Kilkenny to New Ross, Co. Wexford.</w:t>
      </w:r>
    </w:p>
    <w:p w:rsidR="00EF4AB3" w:rsidRPr="00B7571B" w:rsidRDefault="00EF4AB3" w:rsidP="00EF4AB3">
      <w:pPr>
        <w:tabs>
          <w:tab w:val="left" w:pos="-90"/>
          <w:tab w:val="left" w:pos="180"/>
        </w:tabs>
      </w:pPr>
      <w:r w:rsidRPr="00B7571B">
        <w:t xml:space="preserve">The works </w:t>
      </w:r>
      <w:r>
        <w:t>proposed at Aylwardstown</w:t>
      </w:r>
      <w:r w:rsidRPr="00B7571B">
        <w:t xml:space="preserve"> include the following:</w:t>
      </w:r>
    </w:p>
    <w:p w:rsidR="00EF4AB3" w:rsidRPr="00B7571B" w:rsidRDefault="00EF4AB3" w:rsidP="00EF4AB3">
      <w:pPr>
        <w:pStyle w:val="ListParagraph"/>
        <w:numPr>
          <w:ilvl w:val="0"/>
          <w:numId w:val="8"/>
        </w:numPr>
        <w:tabs>
          <w:tab w:val="left" w:pos="-90"/>
          <w:tab w:val="left" w:pos="180"/>
        </w:tabs>
        <w:spacing w:after="0" w:line="240" w:lineRule="auto"/>
      </w:pPr>
      <w:r w:rsidRPr="00B7571B">
        <w:t>The clearance of vegetation on the rail line corridor, retaining boundary hedgerows and boundary vegetation</w:t>
      </w:r>
    </w:p>
    <w:p w:rsidR="00EF4AB3" w:rsidRPr="00B7571B" w:rsidRDefault="00EF4AB3" w:rsidP="00EF4AB3">
      <w:pPr>
        <w:pStyle w:val="ListParagraph"/>
        <w:numPr>
          <w:ilvl w:val="0"/>
          <w:numId w:val="8"/>
        </w:numPr>
        <w:tabs>
          <w:tab w:val="left" w:pos="-90"/>
          <w:tab w:val="left" w:pos="180"/>
        </w:tabs>
        <w:spacing w:after="0" w:line="240" w:lineRule="auto"/>
      </w:pPr>
      <w:r w:rsidRPr="00B7571B">
        <w:t>The lifting of the old rails.</w:t>
      </w:r>
    </w:p>
    <w:p w:rsidR="00EF4AB3" w:rsidRDefault="00EF4AB3" w:rsidP="00EF4AB3">
      <w:pPr>
        <w:pStyle w:val="ListParagraph"/>
        <w:numPr>
          <w:ilvl w:val="0"/>
          <w:numId w:val="8"/>
        </w:numPr>
        <w:tabs>
          <w:tab w:val="left" w:pos="-90"/>
          <w:tab w:val="left" w:pos="180"/>
        </w:tabs>
        <w:spacing w:after="0" w:line="240" w:lineRule="auto"/>
      </w:pPr>
      <w:r w:rsidRPr="00B7571B">
        <w:t xml:space="preserve">The laying of a 3 metre wide bituminous surface on a crushed stone base to form the cycle and footpath track </w:t>
      </w:r>
    </w:p>
    <w:p w:rsidR="00EF4AB3" w:rsidRPr="00B7571B" w:rsidRDefault="00EF4AB3" w:rsidP="00EF4AB3">
      <w:pPr>
        <w:pStyle w:val="ListParagraph"/>
        <w:numPr>
          <w:ilvl w:val="0"/>
          <w:numId w:val="8"/>
        </w:numPr>
        <w:tabs>
          <w:tab w:val="left" w:pos="-90"/>
          <w:tab w:val="left" w:pos="180"/>
        </w:tabs>
        <w:spacing w:after="0" w:line="240" w:lineRule="auto"/>
      </w:pPr>
      <w:r>
        <w:t>Accommodation works consisting of screen walls, screen fencing, security fencing, agricultural crossings to facilitate landowners</w:t>
      </w:r>
    </w:p>
    <w:p w:rsidR="00EF4AB3" w:rsidRPr="00B7571B" w:rsidRDefault="00EF4AB3" w:rsidP="00EF4AB3">
      <w:pPr>
        <w:pStyle w:val="ListParagraph"/>
        <w:numPr>
          <w:ilvl w:val="0"/>
          <w:numId w:val="8"/>
        </w:numPr>
        <w:tabs>
          <w:tab w:val="left" w:pos="-90"/>
          <w:tab w:val="left" w:pos="180"/>
        </w:tabs>
        <w:spacing w:after="0" w:line="240" w:lineRule="auto"/>
      </w:pPr>
      <w:r w:rsidRPr="00B7571B">
        <w:t>Repair and upgrade of existing drains</w:t>
      </w:r>
    </w:p>
    <w:p w:rsidR="00EF4AB3" w:rsidRPr="00B7571B" w:rsidRDefault="00EF4AB3" w:rsidP="00EF4AB3">
      <w:pPr>
        <w:pStyle w:val="ListParagraph"/>
        <w:numPr>
          <w:ilvl w:val="0"/>
          <w:numId w:val="8"/>
        </w:numPr>
        <w:tabs>
          <w:tab w:val="left" w:pos="-90"/>
          <w:tab w:val="left" w:pos="180"/>
        </w:tabs>
        <w:spacing w:after="0" w:line="240" w:lineRule="auto"/>
      </w:pPr>
      <w:r w:rsidRPr="00B7571B">
        <w:t>The marking of the aforementioned cycle and footpaths</w:t>
      </w:r>
    </w:p>
    <w:p w:rsidR="00EF4AB3" w:rsidRDefault="00EF4AB3" w:rsidP="00EF4AB3">
      <w:pPr>
        <w:pStyle w:val="ListParagraph"/>
        <w:numPr>
          <w:ilvl w:val="0"/>
          <w:numId w:val="8"/>
        </w:numPr>
        <w:tabs>
          <w:tab w:val="left" w:pos="-90"/>
          <w:tab w:val="left" w:pos="180"/>
        </w:tabs>
        <w:spacing w:after="0" w:line="240" w:lineRule="auto"/>
      </w:pPr>
      <w:r w:rsidRPr="00B7571B">
        <w:t>The upgrad</w:t>
      </w:r>
      <w:r>
        <w:t>e and repair of the existing bridge</w:t>
      </w:r>
      <w:r w:rsidRPr="00B7571B">
        <w:t xml:space="preserve"> so as to accommodate the cycle /pedestrian route</w:t>
      </w:r>
    </w:p>
    <w:p w:rsidR="00EF4AB3" w:rsidRPr="00B7571B" w:rsidRDefault="00EF4AB3" w:rsidP="00EF4AB3">
      <w:pPr>
        <w:pStyle w:val="ListParagraph"/>
        <w:numPr>
          <w:ilvl w:val="0"/>
          <w:numId w:val="8"/>
        </w:numPr>
        <w:tabs>
          <w:tab w:val="left" w:pos="-90"/>
          <w:tab w:val="left" w:pos="180"/>
        </w:tabs>
        <w:spacing w:after="0" w:line="240" w:lineRule="auto"/>
      </w:pPr>
      <w:r w:rsidRPr="00B7571B">
        <w:t xml:space="preserve">The installation of barriers for the safety of Greenway users  </w:t>
      </w:r>
    </w:p>
    <w:p w:rsidR="00EF4AB3" w:rsidRPr="00FA09F3" w:rsidRDefault="00EF4AB3" w:rsidP="00B76023">
      <w:pPr>
        <w:pStyle w:val="ListParagraph"/>
        <w:numPr>
          <w:ilvl w:val="0"/>
          <w:numId w:val="8"/>
        </w:numPr>
        <w:tabs>
          <w:tab w:val="left" w:pos="-90"/>
          <w:tab w:val="left" w:pos="180"/>
        </w:tabs>
        <w:spacing w:after="0" w:line="240" w:lineRule="auto"/>
      </w:pPr>
      <w:r w:rsidRPr="00B7571B">
        <w:t xml:space="preserve">Stock proof fencing </w:t>
      </w:r>
    </w:p>
    <w:p w:rsidR="00B47BA1" w:rsidRDefault="00B47BA1" w:rsidP="007F0ADD">
      <w:pPr>
        <w:autoSpaceDE w:val="0"/>
        <w:autoSpaceDN w:val="0"/>
        <w:adjustRightInd w:val="0"/>
        <w:spacing w:after="0" w:line="240" w:lineRule="auto"/>
        <w:rPr>
          <w:rFonts w:cs="Calibri"/>
          <w:color w:val="000000"/>
        </w:rPr>
      </w:pPr>
    </w:p>
    <w:p w:rsidR="00B47BA1" w:rsidRPr="007B255F" w:rsidRDefault="00B47BA1" w:rsidP="00B47BA1">
      <w:pPr>
        <w:rPr>
          <w:rStyle w:val="Strong"/>
          <w:rFonts w:cs="Arial"/>
          <w:color w:val="365F91" w:themeColor="accent1" w:themeShade="BF"/>
          <w:sz w:val="28"/>
          <w:szCs w:val="28"/>
        </w:rPr>
      </w:pPr>
      <w:r w:rsidRPr="007B255F">
        <w:rPr>
          <w:rStyle w:val="Strong"/>
          <w:rFonts w:cs="Arial"/>
          <w:color w:val="365F91" w:themeColor="accent1" w:themeShade="BF"/>
          <w:sz w:val="28"/>
          <w:szCs w:val="28"/>
        </w:rPr>
        <w:t>2.</w:t>
      </w:r>
      <w:r w:rsidRPr="007B255F">
        <w:rPr>
          <w:rStyle w:val="Strong"/>
          <w:rFonts w:cs="Arial"/>
          <w:color w:val="365F91" w:themeColor="accent1" w:themeShade="BF"/>
          <w:sz w:val="28"/>
          <w:szCs w:val="28"/>
        </w:rPr>
        <w:tab/>
        <w:t>NATURA 2000 SITES</w:t>
      </w:r>
    </w:p>
    <w:p w:rsidR="00B47BA1" w:rsidRPr="00B47BA1" w:rsidRDefault="00B47BA1" w:rsidP="00B47BA1">
      <w:pPr>
        <w:rPr>
          <w:rStyle w:val="Strong"/>
          <w:rFonts w:cs="Arial"/>
          <w:b w:val="0"/>
        </w:rPr>
      </w:pPr>
      <w:r w:rsidRPr="00B47BA1">
        <w:rPr>
          <w:rStyle w:val="Strong"/>
          <w:rFonts w:cs="Arial"/>
          <w:b w:val="0"/>
        </w:rPr>
        <w:t>Note: European Natura 2000 sites include SAC’s, cSACs, SPA’s and pSPA’s, but not NHA’s.</w:t>
      </w:r>
    </w:p>
    <w:p w:rsidR="00B47BA1" w:rsidRPr="00B47BA1" w:rsidRDefault="00B47BA1" w:rsidP="00B47BA1">
      <w:pPr>
        <w:rPr>
          <w:rStyle w:val="Strong"/>
          <w:rFonts w:cs="Arial"/>
          <w:b w:val="0"/>
        </w:rPr>
      </w:pPr>
      <w:r w:rsidRPr="00B47BA1">
        <w:rPr>
          <w:rStyle w:val="Strong"/>
          <w:rFonts w:cs="Arial"/>
          <w:b w:val="0"/>
        </w:rPr>
        <w:t>This stage 1 screening assessment covers Natura 2000 sites within 15km of the site development boundary which includes the following:-</w:t>
      </w:r>
    </w:p>
    <w:p w:rsidR="00B47BA1" w:rsidRPr="00B47BA1" w:rsidRDefault="00B47BA1" w:rsidP="00B47BA1">
      <w:pPr>
        <w:numPr>
          <w:ilvl w:val="0"/>
          <w:numId w:val="9"/>
        </w:numPr>
        <w:spacing w:after="0" w:line="240" w:lineRule="auto"/>
        <w:rPr>
          <w:rFonts w:cs="Arial"/>
        </w:rPr>
      </w:pPr>
      <w:r w:rsidRPr="00B47BA1">
        <w:rPr>
          <w:rFonts w:cs="Arial"/>
        </w:rPr>
        <w:t>Lower River Suir Special SAC</w:t>
      </w:r>
      <w:r w:rsidRPr="00B47BA1">
        <w:rPr>
          <w:rStyle w:val="Strong"/>
          <w:rFonts w:cs="Arial"/>
          <w:b w:val="0"/>
        </w:rPr>
        <w:t xml:space="preserve"> (site code 002137) </w:t>
      </w:r>
      <w:r w:rsidRPr="00B47BA1">
        <w:rPr>
          <w:rFonts w:cs="Arial"/>
        </w:rPr>
        <w:t xml:space="preserve"> (approximately </w:t>
      </w:r>
      <w:r w:rsidR="007B255F">
        <w:rPr>
          <w:rFonts w:cs="Arial"/>
        </w:rPr>
        <w:t xml:space="preserve">8km </w:t>
      </w:r>
      <w:r w:rsidRPr="00B47BA1">
        <w:rPr>
          <w:rFonts w:cs="Arial"/>
        </w:rPr>
        <w:t>away)</w:t>
      </w:r>
    </w:p>
    <w:p w:rsidR="00B47BA1" w:rsidRDefault="00B47BA1" w:rsidP="00B47BA1">
      <w:pPr>
        <w:numPr>
          <w:ilvl w:val="0"/>
          <w:numId w:val="9"/>
        </w:numPr>
        <w:spacing w:after="0" w:line="240" w:lineRule="auto"/>
        <w:rPr>
          <w:rFonts w:cs="Arial"/>
        </w:rPr>
      </w:pPr>
      <w:r w:rsidRPr="00B47BA1">
        <w:rPr>
          <w:rFonts w:cs="Arial"/>
        </w:rPr>
        <w:t xml:space="preserve">River Barrow and River Nore SAC </w:t>
      </w:r>
      <w:r w:rsidRPr="004600EE">
        <w:rPr>
          <w:rFonts w:cs="Arial"/>
        </w:rPr>
        <w:t>(</w:t>
      </w:r>
      <w:r w:rsidR="004600EE" w:rsidRPr="004600EE">
        <w:rPr>
          <w:rFonts w:cs="Arial"/>
        </w:rPr>
        <w:t xml:space="preserve">Site Code 002162) </w:t>
      </w:r>
      <w:r w:rsidR="00100363">
        <w:rPr>
          <w:rFonts w:cs="Arial"/>
        </w:rPr>
        <w:t>(</w:t>
      </w:r>
      <w:r w:rsidRPr="00B47BA1">
        <w:rPr>
          <w:rFonts w:cs="Arial"/>
        </w:rPr>
        <w:t xml:space="preserve">approximately 340metres away) </w:t>
      </w:r>
    </w:p>
    <w:p w:rsidR="005D1FBD" w:rsidRPr="005D1FBD" w:rsidRDefault="005D1FBD" w:rsidP="00100363">
      <w:pPr>
        <w:spacing w:after="0" w:line="240" w:lineRule="auto"/>
        <w:ind w:left="720"/>
        <w:rPr>
          <w:rStyle w:val="Strong"/>
          <w:rFonts w:cs="Arial"/>
          <w:b w:val="0"/>
          <w:bCs w:val="0"/>
        </w:rPr>
      </w:pPr>
    </w:p>
    <w:p w:rsidR="00B47BA1" w:rsidRDefault="00B47BA1" w:rsidP="00B47BA1">
      <w:pPr>
        <w:rPr>
          <w:rStyle w:val="Strong"/>
          <w:rFonts w:cs="Arial"/>
          <w:b w:val="0"/>
        </w:rPr>
      </w:pPr>
      <w:r w:rsidRPr="00B47BA1">
        <w:rPr>
          <w:rStyle w:val="Strong"/>
          <w:rFonts w:cs="Arial"/>
          <w:b w:val="0"/>
        </w:rPr>
        <w:t xml:space="preserve">The closest SAC, which is the </w:t>
      </w:r>
      <w:r w:rsidRPr="00B47BA1">
        <w:rPr>
          <w:rFonts w:cs="Arial"/>
        </w:rPr>
        <w:t xml:space="preserve">River Barrow and River Nore </w:t>
      </w:r>
      <w:proofErr w:type="gramStart"/>
      <w:r w:rsidRPr="00B47BA1">
        <w:rPr>
          <w:rFonts w:cs="Arial"/>
        </w:rPr>
        <w:t>SAC</w:t>
      </w:r>
      <w:proofErr w:type="gramEnd"/>
      <w:r w:rsidRPr="00B47BA1">
        <w:rPr>
          <w:rFonts w:cs="Arial"/>
        </w:rPr>
        <w:t xml:space="preserve"> </w:t>
      </w:r>
      <w:r w:rsidRPr="00B47BA1">
        <w:rPr>
          <w:rStyle w:val="Strong"/>
          <w:rFonts w:cs="Arial"/>
          <w:b w:val="0"/>
        </w:rPr>
        <w:t xml:space="preserve">is located approx. 340metres </w:t>
      </w:r>
      <w:r w:rsidR="00100363">
        <w:rPr>
          <w:rStyle w:val="Strong"/>
          <w:rFonts w:cs="Arial"/>
          <w:b w:val="0"/>
        </w:rPr>
        <w:t>away from</w:t>
      </w:r>
      <w:r w:rsidRPr="00B47BA1">
        <w:rPr>
          <w:rStyle w:val="Strong"/>
          <w:rFonts w:cs="Arial"/>
          <w:b w:val="0"/>
        </w:rPr>
        <w:t xml:space="preserve"> proposed development which is protected under the Habitats Directive as a European Natura 2000 site.</w:t>
      </w:r>
    </w:p>
    <w:p w:rsidR="005D1FBD" w:rsidRDefault="005D1FBD" w:rsidP="00B47BA1">
      <w:r>
        <w:rPr>
          <w:rStyle w:val="Strong"/>
          <w:rFonts w:cs="Arial"/>
          <w:b w:val="0"/>
        </w:rPr>
        <w:t xml:space="preserve">Figure 1 shows the location of proposed development at Aywardstown in the context to </w:t>
      </w:r>
      <w:r w:rsidRPr="005D1FBD">
        <w:t>context to Natura 2000 Sites zone of impact</w:t>
      </w:r>
      <w:r w:rsidR="004600EE">
        <w:t>.</w:t>
      </w:r>
    </w:p>
    <w:p w:rsidR="004600EE" w:rsidRPr="004600EE" w:rsidRDefault="004600EE" w:rsidP="00B47BA1"/>
    <w:p w:rsidR="005D1FBD" w:rsidRDefault="005D1FBD" w:rsidP="00B47BA1">
      <w:pPr>
        <w:rPr>
          <w:b/>
        </w:rPr>
      </w:pPr>
      <w:r w:rsidRPr="00B47BA1">
        <w:rPr>
          <w:b/>
        </w:rPr>
        <w:lastRenderedPageBreak/>
        <w:t>Figure 1 Location of Proposed development in the context to Natura 2000 Sites zone of impact</w:t>
      </w:r>
    </w:p>
    <w:p w:rsidR="005D1FBD" w:rsidRPr="005D1FBD" w:rsidRDefault="005D1FBD" w:rsidP="00B47BA1">
      <w:pPr>
        <w:rPr>
          <w:rStyle w:val="Strong"/>
          <w:bCs w:val="0"/>
        </w:rPr>
      </w:pPr>
      <w:r w:rsidRPr="005D1FBD">
        <w:rPr>
          <w:b/>
          <w:noProof/>
          <w:lang w:eastAsia="en-IE"/>
        </w:rPr>
        <w:drawing>
          <wp:inline distT="0" distB="0" distL="0" distR="0">
            <wp:extent cx="7201052" cy="4626952"/>
            <wp:effectExtent l="19050" t="0" r="0" b="0"/>
            <wp:docPr id="2" name="Picture 1" descr="C:\Users\roshea\AppData\Local\Microsoft\Windows\Temporary Internet Files\Content.Outlook\NA3C0ID7\Aylwardstown shown on Figure 1 as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hea\AppData\Local\Microsoft\Windows\Temporary Internet Files\Content.Outlook\NA3C0ID7\Aylwardstown shown on Figure 1 as line.jpg"/>
                    <pic:cNvPicPr>
                      <a:picLocks noChangeAspect="1" noChangeArrowheads="1"/>
                    </pic:cNvPicPr>
                  </pic:nvPicPr>
                  <pic:blipFill>
                    <a:blip r:embed="rId9" cstate="print"/>
                    <a:srcRect/>
                    <a:stretch>
                      <a:fillRect/>
                    </a:stretch>
                  </pic:blipFill>
                  <pic:spPr bwMode="auto">
                    <a:xfrm>
                      <a:off x="0" y="0"/>
                      <a:ext cx="7201052" cy="4626952"/>
                    </a:xfrm>
                    <a:prstGeom prst="rect">
                      <a:avLst/>
                    </a:prstGeom>
                    <a:noFill/>
                    <a:ln w="9525">
                      <a:noFill/>
                      <a:miter lim="800000"/>
                      <a:headEnd/>
                      <a:tailEnd/>
                    </a:ln>
                  </pic:spPr>
                </pic:pic>
              </a:graphicData>
            </a:graphic>
          </wp:inline>
        </w:drawing>
      </w:r>
    </w:p>
    <w:p w:rsidR="00B47BA1" w:rsidRPr="007B255F" w:rsidRDefault="004600EE" w:rsidP="004600EE">
      <w:pPr>
        <w:pStyle w:val="Heading1"/>
        <w:numPr>
          <w:ilvl w:val="0"/>
          <w:numId w:val="0"/>
        </w:numPr>
        <w:ind w:left="432" w:hanging="432"/>
        <w:rPr>
          <w:sz w:val="26"/>
          <w:szCs w:val="26"/>
        </w:rPr>
      </w:pPr>
      <w:proofErr w:type="gramStart"/>
      <w:r>
        <w:rPr>
          <w:sz w:val="26"/>
          <w:szCs w:val="26"/>
        </w:rPr>
        <w:t xml:space="preserve">3  </w:t>
      </w:r>
      <w:r w:rsidR="00F43F00">
        <w:rPr>
          <w:sz w:val="26"/>
          <w:szCs w:val="26"/>
        </w:rPr>
        <w:t>Proposed</w:t>
      </w:r>
      <w:proofErr w:type="gramEnd"/>
      <w:r w:rsidR="00F43F00">
        <w:rPr>
          <w:sz w:val="26"/>
          <w:szCs w:val="26"/>
        </w:rPr>
        <w:t xml:space="preserve"> Assessment</w:t>
      </w:r>
      <w:r w:rsidR="00B47BA1" w:rsidRPr="007B255F">
        <w:rPr>
          <w:sz w:val="26"/>
          <w:szCs w:val="26"/>
        </w:rPr>
        <w:t xml:space="preserve"> </w:t>
      </w:r>
    </w:p>
    <w:p w:rsidR="007B255F" w:rsidRPr="006D48DE" w:rsidRDefault="007B255F" w:rsidP="007B255F">
      <w:pPr>
        <w:rPr>
          <w:rStyle w:val="Strong"/>
          <w:rFonts w:cs="Arial"/>
          <w:b w:val="0"/>
        </w:rPr>
      </w:pPr>
      <w:r w:rsidRPr="006D48DE">
        <w:rPr>
          <w:rStyle w:val="Strong"/>
          <w:rFonts w:cs="Arial"/>
          <w:b w:val="0"/>
        </w:rPr>
        <w:t xml:space="preserve">Likely effects on the Natura 2000 site to be considered are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21"/>
        <w:gridCol w:w="3761"/>
        <w:gridCol w:w="3469"/>
      </w:tblGrid>
      <w:tr w:rsidR="007B255F" w:rsidRPr="006D48DE" w:rsidTr="007B255F">
        <w:trPr>
          <w:jc w:val="center"/>
        </w:trPr>
        <w:tc>
          <w:tcPr>
            <w:tcW w:w="1921" w:type="dxa"/>
          </w:tcPr>
          <w:p w:rsidR="007B255F" w:rsidRPr="00EF4AB3" w:rsidRDefault="007B255F" w:rsidP="007B255F">
            <w:pPr>
              <w:rPr>
                <w:rStyle w:val="Strong"/>
                <w:rFonts w:cs="Arial"/>
                <w:color w:val="0F243E" w:themeColor="text2" w:themeShade="80"/>
                <w:sz w:val="20"/>
                <w:szCs w:val="20"/>
              </w:rPr>
            </w:pPr>
            <w:r w:rsidRPr="00EF4AB3">
              <w:rPr>
                <w:rStyle w:val="Strong"/>
                <w:rFonts w:cs="Arial"/>
                <w:color w:val="0F243E" w:themeColor="text2" w:themeShade="80"/>
                <w:sz w:val="20"/>
                <w:szCs w:val="20"/>
              </w:rPr>
              <w:t>Impact Type</w:t>
            </w:r>
          </w:p>
        </w:tc>
        <w:tc>
          <w:tcPr>
            <w:tcW w:w="3761" w:type="dxa"/>
          </w:tcPr>
          <w:p w:rsidR="007B255F" w:rsidRPr="00EF4AB3" w:rsidRDefault="007B255F" w:rsidP="007B255F">
            <w:pPr>
              <w:rPr>
                <w:rStyle w:val="Strong"/>
                <w:rFonts w:cs="Arial"/>
                <w:color w:val="0F243E" w:themeColor="text2" w:themeShade="80"/>
                <w:sz w:val="20"/>
                <w:szCs w:val="20"/>
              </w:rPr>
            </w:pPr>
            <w:r w:rsidRPr="00EF4AB3">
              <w:rPr>
                <w:rStyle w:val="Strong"/>
                <w:rFonts w:cs="Arial"/>
                <w:color w:val="0F243E" w:themeColor="text2" w:themeShade="80"/>
                <w:sz w:val="20"/>
                <w:szCs w:val="20"/>
              </w:rPr>
              <w:t>Significance Indicator</w:t>
            </w:r>
          </w:p>
        </w:tc>
        <w:tc>
          <w:tcPr>
            <w:tcW w:w="3469" w:type="dxa"/>
          </w:tcPr>
          <w:p w:rsidR="007B255F" w:rsidRPr="00EF4AB3" w:rsidRDefault="007B255F" w:rsidP="007B255F">
            <w:pPr>
              <w:rPr>
                <w:rStyle w:val="Strong"/>
                <w:rFonts w:cs="Arial"/>
                <w:color w:val="0F243E" w:themeColor="text2" w:themeShade="80"/>
                <w:sz w:val="20"/>
                <w:szCs w:val="20"/>
              </w:rPr>
            </w:pPr>
            <w:r w:rsidRPr="00EF4AB3">
              <w:rPr>
                <w:rStyle w:val="Strong"/>
                <w:rFonts w:cs="Arial"/>
                <w:color w:val="0F243E" w:themeColor="text2" w:themeShade="80"/>
                <w:sz w:val="20"/>
                <w:szCs w:val="20"/>
              </w:rPr>
              <w:t>Likely Effect</w:t>
            </w:r>
          </w:p>
        </w:tc>
      </w:tr>
      <w:tr w:rsidR="007B255F" w:rsidRPr="00086F39" w:rsidTr="007B255F">
        <w:trPr>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Loss of Habitat</w:t>
            </w:r>
          </w:p>
          <w:p w:rsidR="007B255F" w:rsidRPr="00086F39" w:rsidRDefault="007B255F" w:rsidP="007B255F">
            <w:pPr>
              <w:rPr>
                <w:rStyle w:val="Strong"/>
                <w:rFonts w:cs="Arial"/>
                <w:b w:val="0"/>
                <w:sz w:val="20"/>
                <w:szCs w:val="20"/>
              </w:rPr>
            </w:pPr>
          </w:p>
          <w:p w:rsidR="007B255F" w:rsidRPr="00086F39" w:rsidRDefault="007B255F" w:rsidP="007B255F">
            <w:pPr>
              <w:rPr>
                <w:rStyle w:val="Strong"/>
                <w:rFonts w:cs="Arial"/>
                <w:b w:val="0"/>
                <w:sz w:val="20"/>
                <w:szCs w:val="20"/>
              </w:rPr>
            </w:pP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Percentage of loss</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r w:rsidR="007B255F" w:rsidRPr="00086F39" w:rsidTr="007B255F">
        <w:trPr>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 xml:space="preserve">Disturbance </w:t>
            </w:r>
          </w:p>
          <w:p w:rsidR="007B255F" w:rsidRPr="00086F39" w:rsidRDefault="007B255F" w:rsidP="007B255F">
            <w:pPr>
              <w:rPr>
                <w:rStyle w:val="Strong"/>
                <w:rFonts w:cs="Arial"/>
                <w:b w:val="0"/>
                <w:sz w:val="20"/>
                <w:szCs w:val="20"/>
              </w:rPr>
            </w:pPr>
          </w:p>
          <w:p w:rsidR="007B255F" w:rsidRPr="00086F39" w:rsidRDefault="007B255F" w:rsidP="007B255F">
            <w:pPr>
              <w:rPr>
                <w:rStyle w:val="Strong"/>
                <w:rFonts w:cs="Arial"/>
                <w:b w:val="0"/>
                <w:sz w:val="20"/>
                <w:szCs w:val="20"/>
              </w:rPr>
            </w:pP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 xml:space="preserve">Duration or permanence, distance from site </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r w:rsidR="007B255F" w:rsidRPr="00086F39" w:rsidTr="007B255F">
        <w:trPr>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Water Quality</w:t>
            </w:r>
          </w:p>
          <w:p w:rsidR="007B255F" w:rsidRPr="00086F39" w:rsidRDefault="007B255F" w:rsidP="007B255F">
            <w:pPr>
              <w:rPr>
                <w:rStyle w:val="Strong"/>
                <w:rFonts w:cs="Arial"/>
                <w:b w:val="0"/>
                <w:sz w:val="20"/>
                <w:szCs w:val="20"/>
              </w:rPr>
            </w:pPr>
          </w:p>
          <w:p w:rsidR="007B255F" w:rsidRPr="00086F39" w:rsidRDefault="007B255F" w:rsidP="007B255F">
            <w:pPr>
              <w:rPr>
                <w:rStyle w:val="Strong"/>
                <w:rFonts w:cs="Arial"/>
                <w:b w:val="0"/>
                <w:sz w:val="20"/>
                <w:szCs w:val="20"/>
              </w:rPr>
            </w:pP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Relative change in key indicative chemicals or other elements</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r w:rsidR="007B255F" w:rsidRPr="00086F39" w:rsidTr="007B255F">
        <w:trPr>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Fragmentation</w:t>
            </w:r>
          </w:p>
          <w:p w:rsidR="007B255F" w:rsidRPr="00086F39" w:rsidRDefault="007B255F" w:rsidP="007B255F">
            <w:pPr>
              <w:rPr>
                <w:rStyle w:val="Strong"/>
                <w:rFonts w:cs="Arial"/>
                <w:b w:val="0"/>
                <w:sz w:val="20"/>
                <w:szCs w:val="20"/>
              </w:rPr>
            </w:pPr>
          </w:p>
          <w:p w:rsidR="007B255F" w:rsidRPr="00086F39" w:rsidRDefault="007B255F" w:rsidP="007B255F">
            <w:pPr>
              <w:rPr>
                <w:rStyle w:val="Strong"/>
                <w:rFonts w:cs="Arial"/>
                <w:b w:val="0"/>
                <w:sz w:val="20"/>
                <w:szCs w:val="20"/>
              </w:rPr>
            </w:pP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 xml:space="preserve">Duration or permanence, level in relation to original extent </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r w:rsidR="007B255F" w:rsidRPr="00086F39" w:rsidTr="007B255F">
        <w:trPr>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Species population density</w:t>
            </w: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Timescale for replacement</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r w:rsidR="007B255F" w:rsidRPr="00086F39" w:rsidTr="007B255F">
        <w:trPr>
          <w:trHeight w:val="1125"/>
          <w:jc w:val="center"/>
        </w:trPr>
        <w:tc>
          <w:tcPr>
            <w:tcW w:w="1921" w:type="dxa"/>
          </w:tcPr>
          <w:p w:rsidR="007B255F" w:rsidRPr="00086F39" w:rsidRDefault="007B255F" w:rsidP="007B255F">
            <w:pPr>
              <w:rPr>
                <w:rStyle w:val="Strong"/>
                <w:rFonts w:cs="Arial"/>
                <w:b w:val="0"/>
                <w:sz w:val="20"/>
                <w:szCs w:val="20"/>
              </w:rPr>
            </w:pPr>
            <w:r w:rsidRPr="00086F39">
              <w:rPr>
                <w:rStyle w:val="Strong"/>
                <w:rFonts w:cs="Arial"/>
                <w:b w:val="0"/>
                <w:sz w:val="20"/>
                <w:szCs w:val="20"/>
              </w:rPr>
              <w:t>Water resource</w:t>
            </w:r>
          </w:p>
          <w:p w:rsidR="007B255F" w:rsidRPr="00086F39" w:rsidRDefault="007B255F" w:rsidP="007B255F">
            <w:pPr>
              <w:rPr>
                <w:rStyle w:val="Strong"/>
                <w:rFonts w:cs="Arial"/>
                <w:b w:val="0"/>
                <w:sz w:val="20"/>
                <w:szCs w:val="20"/>
              </w:rPr>
            </w:pPr>
          </w:p>
          <w:p w:rsidR="007B255F" w:rsidRPr="00086F39" w:rsidRDefault="007B255F" w:rsidP="007B255F">
            <w:pPr>
              <w:rPr>
                <w:rStyle w:val="Strong"/>
                <w:rFonts w:cs="Arial"/>
                <w:b w:val="0"/>
                <w:sz w:val="20"/>
                <w:szCs w:val="20"/>
              </w:rPr>
            </w:pPr>
          </w:p>
        </w:tc>
        <w:tc>
          <w:tcPr>
            <w:tcW w:w="3761" w:type="dxa"/>
          </w:tcPr>
          <w:p w:rsidR="007B255F" w:rsidRPr="00086F39" w:rsidRDefault="007B255F" w:rsidP="007B255F">
            <w:pPr>
              <w:rPr>
                <w:rStyle w:val="Strong"/>
                <w:rFonts w:cs="Arial"/>
                <w:b w:val="0"/>
                <w:sz w:val="20"/>
                <w:szCs w:val="20"/>
              </w:rPr>
            </w:pPr>
            <w:r w:rsidRPr="00086F39">
              <w:rPr>
                <w:rStyle w:val="Strong"/>
                <w:rFonts w:cs="Arial"/>
                <w:b w:val="0"/>
                <w:sz w:val="20"/>
                <w:szCs w:val="20"/>
              </w:rPr>
              <w:t>Relative change</w:t>
            </w:r>
          </w:p>
        </w:tc>
        <w:tc>
          <w:tcPr>
            <w:tcW w:w="3469" w:type="dxa"/>
          </w:tcPr>
          <w:p w:rsidR="007B255F" w:rsidRPr="00086F39" w:rsidRDefault="007B255F" w:rsidP="007B255F">
            <w:pPr>
              <w:rPr>
                <w:rStyle w:val="Strong"/>
                <w:rFonts w:cs="Arial"/>
                <w:b w:val="0"/>
                <w:sz w:val="20"/>
                <w:szCs w:val="20"/>
              </w:rPr>
            </w:pPr>
            <w:r w:rsidRPr="00086F39">
              <w:rPr>
                <w:rStyle w:val="Strong"/>
                <w:rFonts w:cs="Arial"/>
                <w:b w:val="0"/>
                <w:sz w:val="20"/>
                <w:szCs w:val="20"/>
              </w:rPr>
              <w:t>Not anticipated</w:t>
            </w:r>
          </w:p>
        </w:tc>
      </w:tr>
    </w:tbl>
    <w:p w:rsidR="007B255F" w:rsidRDefault="007B255F" w:rsidP="007B255F">
      <w:pPr>
        <w:rPr>
          <w:rStyle w:val="Strong"/>
          <w:rFonts w:cs="Arial"/>
          <w:b w:val="0"/>
          <w:sz w:val="20"/>
          <w:szCs w:val="20"/>
        </w:rPr>
      </w:pPr>
    </w:p>
    <w:p w:rsidR="007B255F" w:rsidRPr="006D48DE" w:rsidRDefault="007B255F" w:rsidP="007B255F">
      <w:pPr>
        <w:rPr>
          <w:rStyle w:val="Strong"/>
          <w:rFonts w:cs="Arial"/>
          <w:b w:val="0"/>
        </w:rPr>
      </w:pPr>
      <w:r w:rsidRPr="006D48DE">
        <w:rPr>
          <w:rStyle w:val="Strong"/>
          <w:rFonts w:cs="Arial"/>
          <w:b w:val="0"/>
        </w:rPr>
        <w:t xml:space="preserve">The River Barrow/River Nore (SAC) </w:t>
      </w:r>
      <w:r w:rsidR="004600EE">
        <w:rPr>
          <w:rStyle w:val="Strong"/>
          <w:rFonts w:cs="Arial"/>
          <w:b w:val="0"/>
        </w:rPr>
        <w:t xml:space="preserve">and Lower River Suir (SAC) </w:t>
      </w:r>
      <w:r w:rsidRPr="006D48DE">
        <w:rPr>
          <w:rStyle w:val="Strong"/>
          <w:rFonts w:cs="Arial"/>
          <w:b w:val="0"/>
        </w:rPr>
        <w:t>has been identified as the only Natura 2000 Site</w:t>
      </w:r>
      <w:r w:rsidR="004600EE">
        <w:rPr>
          <w:rStyle w:val="Strong"/>
          <w:rFonts w:cs="Arial"/>
          <w:b w:val="0"/>
        </w:rPr>
        <w:t>s</w:t>
      </w:r>
      <w:r w:rsidRPr="006D48DE">
        <w:rPr>
          <w:rStyle w:val="Strong"/>
          <w:rFonts w:cs="Arial"/>
          <w:b w:val="0"/>
        </w:rPr>
        <w:t xml:space="preserve"> that can potentially be affected by proposed development on the Natura 2000 Network. No works for the revised section at Aylwardstown are required within any designated Natura site</w:t>
      </w:r>
      <w:r>
        <w:rPr>
          <w:rStyle w:val="Strong"/>
          <w:rFonts w:cs="Arial"/>
          <w:b w:val="0"/>
        </w:rPr>
        <w:t xml:space="preserve"> </w:t>
      </w:r>
      <w:r w:rsidRPr="006D48DE">
        <w:rPr>
          <w:rStyle w:val="Strong"/>
          <w:rFonts w:cs="Arial"/>
          <w:b w:val="0"/>
        </w:rPr>
        <w:t xml:space="preserve">and there are no hydrological path connections direct or indirect from the site to </w:t>
      </w:r>
      <w:r w:rsidR="004600EE">
        <w:rPr>
          <w:rStyle w:val="Strong"/>
          <w:rFonts w:cs="Arial"/>
          <w:b w:val="0"/>
        </w:rPr>
        <w:t>any designated protected sites.</w:t>
      </w:r>
    </w:p>
    <w:p w:rsidR="007B255F" w:rsidRDefault="007B255F" w:rsidP="007B255F">
      <w:pPr>
        <w:rPr>
          <w:rStyle w:val="Strong"/>
          <w:rFonts w:cs="Arial"/>
          <w:b w:val="0"/>
        </w:rPr>
      </w:pPr>
      <w:r w:rsidRPr="006D48DE">
        <w:rPr>
          <w:rStyle w:val="Strong"/>
          <w:rFonts w:cs="Arial"/>
          <w:b w:val="0"/>
        </w:rPr>
        <w:t xml:space="preserve">Impacts on the River Barrow/River Nore </w:t>
      </w:r>
      <w:r>
        <w:rPr>
          <w:rStyle w:val="Strong"/>
          <w:rFonts w:cs="Arial"/>
          <w:b w:val="0"/>
        </w:rPr>
        <w:t xml:space="preserve">SAC </w:t>
      </w:r>
      <w:r w:rsidR="004600EE">
        <w:rPr>
          <w:rStyle w:val="Strong"/>
          <w:rFonts w:cs="Arial"/>
          <w:b w:val="0"/>
        </w:rPr>
        <w:t xml:space="preserve">and Lower River Suir SAC </w:t>
      </w:r>
      <w:r w:rsidRPr="006D48DE">
        <w:rPr>
          <w:rStyle w:val="Strong"/>
          <w:rFonts w:cs="Arial"/>
          <w:b w:val="0"/>
        </w:rPr>
        <w:t>can be ruled out due to their distance from the site and the lack</w:t>
      </w:r>
      <w:r>
        <w:rPr>
          <w:rStyle w:val="Strong"/>
          <w:rFonts w:cs="Arial"/>
          <w:b w:val="0"/>
        </w:rPr>
        <w:t xml:space="preserve"> of linkages / pathways with same.</w:t>
      </w:r>
    </w:p>
    <w:p w:rsidR="007B255F" w:rsidRDefault="007B255F" w:rsidP="007B255F">
      <w:r>
        <w:t xml:space="preserve">The Aylwardstown section of the Greenway will not involve any land take from any designated site nor have any indirect or direct impacts on the qualifying interests and conservation objectives of the Natura 2000 network. </w:t>
      </w:r>
    </w:p>
    <w:p w:rsidR="00B47BA1" w:rsidRPr="00E8792D" w:rsidRDefault="00B47BA1" w:rsidP="00B47BA1">
      <w:pPr>
        <w:autoSpaceDE w:val="0"/>
        <w:autoSpaceDN w:val="0"/>
        <w:adjustRightInd w:val="0"/>
        <w:spacing w:after="0" w:line="240" w:lineRule="auto"/>
        <w:rPr>
          <w:rFonts w:cs="Calibri"/>
          <w:color w:val="000000"/>
        </w:rPr>
      </w:pPr>
    </w:p>
    <w:p w:rsidR="00B47BA1" w:rsidRDefault="00B47BA1" w:rsidP="00B47BA1">
      <w:pPr>
        <w:autoSpaceDE w:val="0"/>
        <w:autoSpaceDN w:val="0"/>
        <w:adjustRightInd w:val="0"/>
        <w:spacing w:after="0" w:line="240" w:lineRule="auto"/>
        <w:rPr>
          <w:rFonts w:cs="Calibri"/>
          <w:color w:val="000000"/>
        </w:rPr>
      </w:pPr>
      <w:r w:rsidRPr="00E8792D">
        <w:rPr>
          <w:rFonts w:cs="Calibri"/>
          <w:color w:val="000000"/>
        </w:rPr>
        <w:t>A review of t</w:t>
      </w:r>
      <w:r>
        <w:rPr>
          <w:rFonts w:cs="Calibri"/>
          <w:color w:val="000000"/>
        </w:rPr>
        <w:t>he p</w:t>
      </w:r>
      <w:r w:rsidRPr="00E8792D">
        <w:rPr>
          <w:rFonts w:cs="Calibri"/>
          <w:color w:val="000000"/>
        </w:rPr>
        <w:t xml:space="preserve">roposed </w:t>
      </w:r>
      <w:r>
        <w:rPr>
          <w:rFonts w:cs="Calibri"/>
          <w:color w:val="000000"/>
        </w:rPr>
        <w:t>development</w:t>
      </w:r>
      <w:r w:rsidRPr="00E8792D">
        <w:rPr>
          <w:rFonts w:cs="Calibri"/>
          <w:color w:val="000000"/>
        </w:rPr>
        <w:t xml:space="preserve"> has been undertaken in </w:t>
      </w:r>
      <w:r w:rsidRPr="00E8792D">
        <w:rPr>
          <w:rFonts w:cs="Calibri"/>
          <w:b/>
          <w:bCs/>
          <w:color w:val="000000"/>
        </w:rPr>
        <w:t>Table 2.1</w:t>
      </w:r>
      <w:r w:rsidRPr="00E8792D">
        <w:rPr>
          <w:rFonts w:cs="Calibri"/>
          <w:color w:val="000000"/>
        </w:rPr>
        <w:t xml:space="preserve">. </w:t>
      </w:r>
      <w:r>
        <w:rPr>
          <w:rFonts w:cs="Calibri"/>
          <w:color w:val="000000"/>
        </w:rPr>
        <w:t xml:space="preserve">The Planning Authority has had regard to site layout plan </w:t>
      </w:r>
      <w:r w:rsidR="004600EE">
        <w:rPr>
          <w:rFonts w:cs="Calibri"/>
          <w:color w:val="000000"/>
        </w:rPr>
        <w:t xml:space="preserve">and description of works </w:t>
      </w:r>
      <w:r>
        <w:rPr>
          <w:rFonts w:cs="Calibri"/>
          <w:color w:val="000000"/>
        </w:rPr>
        <w:t xml:space="preserve">submitted as part of proposed development. </w:t>
      </w:r>
    </w:p>
    <w:p w:rsidR="000713EB" w:rsidRPr="00E8792D" w:rsidRDefault="000713EB" w:rsidP="007F0ADD">
      <w:pPr>
        <w:autoSpaceDE w:val="0"/>
        <w:autoSpaceDN w:val="0"/>
        <w:adjustRightInd w:val="0"/>
        <w:spacing w:after="0" w:line="240" w:lineRule="auto"/>
        <w:rPr>
          <w:rFonts w:cs="Calibri"/>
          <w:color w:val="000000"/>
        </w:rPr>
      </w:pPr>
    </w:p>
    <w:p w:rsidR="000713EB" w:rsidRPr="00E8792D" w:rsidRDefault="000713EB" w:rsidP="007F0ADD">
      <w:pPr>
        <w:autoSpaceDE w:val="0"/>
        <w:autoSpaceDN w:val="0"/>
        <w:adjustRightInd w:val="0"/>
        <w:spacing w:after="0" w:line="240" w:lineRule="auto"/>
        <w:rPr>
          <w:rFonts w:cs="Calibri"/>
          <w:color w:val="000000"/>
        </w:rPr>
      </w:pPr>
      <w:r w:rsidRPr="00393DB6">
        <w:rPr>
          <w:rFonts w:cs="Calibri"/>
          <w:b/>
          <w:bCs/>
          <w:color w:val="001E5A"/>
        </w:rPr>
        <w:t>Table 2.1 – Assessment of likely significant effects</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563"/>
        <w:gridCol w:w="2332"/>
        <w:gridCol w:w="2332"/>
      </w:tblGrid>
      <w:tr w:rsidR="007F0ADD" w:rsidRPr="00E8792D" w:rsidTr="00BA35AE">
        <w:trPr>
          <w:trHeight w:val="278"/>
        </w:trPr>
        <w:tc>
          <w:tcPr>
            <w:tcW w:w="1101" w:type="dxa"/>
          </w:tcPr>
          <w:p w:rsidR="007F0ADD" w:rsidRPr="00E8792D" w:rsidRDefault="00393DB6" w:rsidP="007F0ADD">
            <w:pPr>
              <w:autoSpaceDE w:val="0"/>
              <w:autoSpaceDN w:val="0"/>
              <w:adjustRightInd w:val="0"/>
              <w:spacing w:after="0" w:line="240" w:lineRule="auto"/>
              <w:rPr>
                <w:rFonts w:cs="Calibri"/>
                <w:color w:val="002462"/>
                <w:sz w:val="20"/>
                <w:szCs w:val="20"/>
              </w:rPr>
            </w:pPr>
            <w:r>
              <w:rPr>
                <w:rFonts w:cs="Calibri"/>
                <w:b/>
                <w:bCs/>
                <w:color w:val="002462"/>
                <w:sz w:val="20"/>
                <w:szCs w:val="20"/>
              </w:rPr>
              <w:t>Ref. no</w:t>
            </w:r>
            <w:r w:rsidR="007F0ADD" w:rsidRPr="00E8792D">
              <w:rPr>
                <w:rFonts w:cs="Calibri"/>
                <w:b/>
                <w:bCs/>
                <w:color w:val="002462"/>
                <w:sz w:val="20"/>
                <w:szCs w:val="20"/>
              </w:rPr>
              <w:t xml:space="preserve"> </w:t>
            </w:r>
          </w:p>
        </w:tc>
        <w:tc>
          <w:tcPr>
            <w:tcW w:w="3563" w:type="dxa"/>
          </w:tcPr>
          <w:p w:rsidR="007F0ADD" w:rsidRPr="00E8792D" w:rsidRDefault="007F0ADD" w:rsidP="00CB384D">
            <w:pPr>
              <w:autoSpaceDE w:val="0"/>
              <w:autoSpaceDN w:val="0"/>
              <w:adjustRightInd w:val="0"/>
              <w:spacing w:after="0" w:line="240" w:lineRule="auto"/>
              <w:rPr>
                <w:rFonts w:cs="Calibri"/>
                <w:color w:val="002462"/>
                <w:sz w:val="20"/>
                <w:szCs w:val="20"/>
              </w:rPr>
            </w:pPr>
            <w:r w:rsidRPr="00E8792D">
              <w:rPr>
                <w:rFonts w:cs="Calibri"/>
                <w:b/>
                <w:bCs/>
                <w:color w:val="002462"/>
                <w:sz w:val="20"/>
                <w:szCs w:val="20"/>
              </w:rPr>
              <w:t>A</w:t>
            </w:r>
            <w:r w:rsidR="00CB384D">
              <w:rPr>
                <w:rFonts w:cs="Calibri"/>
                <w:b/>
                <w:bCs/>
                <w:color w:val="002462"/>
                <w:sz w:val="20"/>
                <w:szCs w:val="20"/>
              </w:rPr>
              <w:t>lteration</w:t>
            </w:r>
            <w:r w:rsidRPr="00E8792D">
              <w:rPr>
                <w:rFonts w:cs="Calibri"/>
                <w:b/>
                <w:bCs/>
                <w:color w:val="002462"/>
                <w:sz w:val="20"/>
                <w:szCs w:val="20"/>
              </w:rPr>
              <w:t xml:space="preserve"> Type </w:t>
            </w:r>
          </w:p>
        </w:tc>
        <w:tc>
          <w:tcPr>
            <w:tcW w:w="2332" w:type="dxa"/>
          </w:tcPr>
          <w:p w:rsidR="007F0ADD" w:rsidRPr="00E8792D" w:rsidRDefault="007F0ADD" w:rsidP="007F0ADD">
            <w:pPr>
              <w:autoSpaceDE w:val="0"/>
              <w:autoSpaceDN w:val="0"/>
              <w:adjustRightInd w:val="0"/>
              <w:spacing w:after="0" w:line="240" w:lineRule="auto"/>
              <w:rPr>
                <w:rFonts w:cs="Calibri"/>
                <w:color w:val="002462"/>
                <w:sz w:val="20"/>
                <w:szCs w:val="20"/>
              </w:rPr>
            </w:pPr>
            <w:r w:rsidRPr="00E8792D">
              <w:rPr>
                <w:rFonts w:cs="Calibri"/>
                <w:b/>
                <w:bCs/>
                <w:color w:val="002462"/>
                <w:sz w:val="20"/>
                <w:szCs w:val="20"/>
              </w:rPr>
              <w:t xml:space="preserve">Identification of Potential Impacts </w:t>
            </w:r>
          </w:p>
        </w:tc>
        <w:tc>
          <w:tcPr>
            <w:tcW w:w="2332" w:type="dxa"/>
          </w:tcPr>
          <w:p w:rsidR="007F0ADD" w:rsidRPr="00E8792D" w:rsidRDefault="007F0ADD" w:rsidP="007F0ADD">
            <w:pPr>
              <w:autoSpaceDE w:val="0"/>
              <w:autoSpaceDN w:val="0"/>
              <w:adjustRightInd w:val="0"/>
              <w:spacing w:after="0" w:line="240" w:lineRule="auto"/>
              <w:rPr>
                <w:rFonts w:cs="Calibri"/>
                <w:color w:val="002462"/>
                <w:sz w:val="20"/>
                <w:szCs w:val="20"/>
              </w:rPr>
            </w:pPr>
            <w:r w:rsidRPr="00E8792D">
              <w:rPr>
                <w:rFonts w:cs="Calibri"/>
                <w:b/>
                <w:bCs/>
                <w:color w:val="002462"/>
                <w:sz w:val="20"/>
                <w:szCs w:val="20"/>
              </w:rPr>
              <w:t xml:space="preserve">Assessment of likely Significant Effects </w:t>
            </w:r>
          </w:p>
        </w:tc>
      </w:tr>
      <w:tr w:rsidR="00393DB6" w:rsidRPr="00E8792D" w:rsidTr="00BA35AE">
        <w:trPr>
          <w:trHeight w:val="248"/>
        </w:trPr>
        <w:tc>
          <w:tcPr>
            <w:tcW w:w="9328" w:type="dxa"/>
            <w:gridSpan w:val="4"/>
          </w:tcPr>
          <w:p w:rsidR="00393DB6" w:rsidRPr="00E8792D" w:rsidRDefault="005607A7" w:rsidP="00071011">
            <w:pPr>
              <w:autoSpaceDE w:val="0"/>
              <w:autoSpaceDN w:val="0"/>
              <w:adjustRightInd w:val="0"/>
              <w:spacing w:after="0" w:line="240" w:lineRule="auto"/>
              <w:rPr>
                <w:rFonts w:cs="Calibri"/>
                <w:color w:val="000000"/>
                <w:sz w:val="20"/>
                <w:szCs w:val="20"/>
              </w:rPr>
            </w:pPr>
            <w:r>
              <w:rPr>
                <w:rFonts w:cs="Calibri"/>
                <w:color w:val="000000"/>
                <w:sz w:val="20"/>
                <w:szCs w:val="20"/>
              </w:rPr>
              <w:t>Waterford to New Ross Greenway at Aylwardstown</w:t>
            </w:r>
          </w:p>
        </w:tc>
      </w:tr>
      <w:tr w:rsidR="00393DB6" w:rsidRPr="00E8792D" w:rsidTr="00BA35AE">
        <w:trPr>
          <w:trHeight w:val="248"/>
        </w:trPr>
        <w:tc>
          <w:tcPr>
            <w:tcW w:w="1101" w:type="dxa"/>
          </w:tcPr>
          <w:p w:rsidR="00393DB6" w:rsidRPr="00E8792D" w:rsidRDefault="00393DB6" w:rsidP="00393DB6">
            <w:pPr>
              <w:autoSpaceDE w:val="0"/>
              <w:autoSpaceDN w:val="0"/>
              <w:adjustRightInd w:val="0"/>
              <w:spacing w:after="0" w:line="240" w:lineRule="auto"/>
              <w:rPr>
                <w:rFonts w:cs="Calibri"/>
                <w:color w:val="000000"/>
                <w:sz w:val="20"/>
                <w:szCs w:val="20"/>
              </w:rPr>
            </w:pPr>
            <w:r w:rsidRPr="00E8792D">
              <w:rPr>
                <w:rFonts w:cs="Calibri"/>
                <w:color w:val="000000"/>
                <w:sz w:val="20"/>
                <w:szCs w:val="20"/>
              </w:rPr>
              <w:t xml:space="preserve">1 </w:t>
            </w:r>
          </w:p>
        </w:tc>
        <w:tc>
          <w:tcPr>
            <w:tcW w:w="3563" w:type="dxa"/>
          </w:tcPr>
          <w:p w:rsidR="005607A7" w:rsidRPr="00191326" w:rsidRDefault="005607A7" w:rsidP="005607A7">
            <w:pPr>
              <w:tabs>
                <w:tab w:val="left" w:pos="-90"/>
                <w:tab w:val="left" w:pos="180"/>
              </w:tabs>
              <w:rPr>
                <w:sz w:val="20"/>
                <w:szCs w:val="20"/>
              </w:rPr>
            </w:pPr>
            <w:r w:rsidRPr="00191326">
              <w:rPr>
                <w:sz w:val="20"/>
                <w:szCs w:val="20"/>
              </w:rPr>
              <w:t xml:space="preserve">660 metres in length on the </w:t>
            </w:r>
            <w:r w:rsidR="00066921" w:rsidRPr="00191326">
              <w:rPr>
                <w:sz w:val="20"/>
                <w:szCs w:val="20"/>
              </w:rPr>
              <w:t xml:space="preserve">railway line from CH 11+900 to </w:t>
            </w:r>
            <w:r w:rsidR="00EF4AB3">
              <w:rPr>
                <w:sz w:val="20"/>
                <w:szCs w:val="20"/>
              </w:rPr>
              <w:t>CH 12+500</w:t>
            </w:r>
            <w:r w:rsidR="0057672F">
              <w:rPr>
                <w:sz w:val="20"/>
                <w:szCs w:val="20"/>
              </w:rPr>
              <w:t xml:space="preserve"> </w:t>
            </w:r>
            <w:r w:rsidR="0057672F" w:rsidRPr="0057672F">
              <w:rPr>
                <w:sz w:val="20"/>
                <w:szCs w:val="20"/>
              </w:rPr>
              <w:t>as a cycle and pedestrian route</w:t>
            </w:r>
            <w:r w:rsidR="00EF4AB3">
              <w:rPr>
                <w:sz w:val="20"/>
                <w:szCs w:val="20"/>
              </w:rPr>
              <w:t xml:space="preserve"> and </w:t>
            </w:r>
            <w:r w:rsidR="00EC77A9">
              <w:rPr>
                <w:sz w:val="20"/>
                <w:szCs w:val="20"/>
              </w:rPr>
              <w:t xml:space="preserve">associated </w:t>
            </w:r>
            <w:r w:rsidR="00EF4AB3">
              <w:rPr>
                <w:sz w:val="20"/>
                <w:szCs w:val="20"/>
              </w:rPr>
              <w:t xml:space="preserve">works </w:t>
            </w:r>
            <w:r w:rsidR="00086F39">
              <w:rPr>
                <w:sz w:val="20"/>
                <w:szCs w:val="20"/>
              </w:rPr>
              <w:t xml:space="preserve">as </w:t>
            </w:r>
            <w:r w:rsidR="00EF4AB3">
              <w:rPr>
                <w:sz w:val="20"/>
                <w:szCs w:val="20"/>
              </w:rPr>
              <w:t xml:space="preserve">described </w:t>
            </w:r>
            <w:r w:rsidR="00EC77A9">
              <w:rPr>
                <w:sz w:val="20"/>
                <w:szCs w:val="20"/>
              </w:rPr>
              <w:t xml:space="preserve">under section 1.2 </w:t>
            </w:r>
            <w:r w:rsidR="00EF4AB3">
              <w:rPr>
                <w:sz w:val="20"/>
                <w:szCs w:val="20"/>
              </w:rPr>
              <w:t>above</w:t>
            </w:r>
            <w:r w:rsidRPr="00191326">
              <w:rPr>
                <w:sz w:val="20"/>
                <w:szCs w:val="20"/>
              </w:rPr>
              <w:t xml:space="preserve"> </w:t>
            </w:r>
            <w:r w:rsidR="002F7B8E">
              <w:rPr>
                <w:sz w:val="20"/>
                <w:szCs w:val="20"/>
              </w:rPr>
              <w:t xml:space="preserve"> </w:t>
            </w:r>
          </w:p>
          <w:p w:rsidR="00393DB6" w:rsidRPr="00E8792D" w:rsidRDefault="00393DB6" w:rsidP="005607A7">
            <w:pPr>
              <w:autoSpaceDE w:val="0"/>
              <w:autoSpaceDN w:val="0"/>
              <w:adjustRightInd w:val="0"/>
              <w:spacing w:after="0" w:line="240" w:lineRule="auto"/>
              <w:rPr>
                <w:rFonts w:cs="Calibri"/>
                <w:color w:val="000000"/>
                <w:sz w:val="20"/>
                <w:szCs w:val="20"/>
              </w:rPr>
            </w:pPr>
          </w:p>
        </w:tc>
        <w:tc>
          <w:tcPr>
            <w:tcW w:w="2332" w:type="dxa"/>
          </w:tcPr>
          <w:p w:rsidR="00066921" w:rsidRDefault="00FA09F3" w:rsidP="00191326">
            <w:pPr>
              <w:autoSpaceDE w:val="0"/>
              <w:autoSpaceDN w:val="0"/>
              <w:adjustRightInd w:val="0"/>
              <w:spacing w:after="0" w:line="240" w:lineRule="auto"/>
              <w:rPr>
                <w:rFonts w:cs="Calibri"/>
                <w:color w:val="000000"/>
                <w:sz w:val="20"/>
                <w:szCs w:val="20"/>
              </w:rPr>
            </w:pPr>
            <w:r>
              <w:rPr>
                <w:rFonts w:cs="Calibri"/>
                <w:color w:val="000000"/>
                <w:sz w:val="20"/>
                <w:szCs w:val="20"/>
              </w:rPr>
              <w:t xml:space="preserve">The </w:t>
            </w:r>
            <w:r w:rsidR="00066921">
              <w:rPr>
                <w:rFonts w:cs="Calibri"/>
                <w:color w:val="000000"/>
                <w:sz w:val="20"/>
                <w:szCs w:val="20"/>
              </w:rPr>
              <w:t xml:space="preserve">nature of works </w:t>
            </w:r>
            <w:r w:rsidR="00191326">
              <w:rPr>
                <w:rFonts w:cs="Calibri"/>
                <w:color w:val="000000"/>
                <w:sz w:val="20"/>
                <w:szCs w:val="20"/>
              </w:rPr>
              <w:t xml:space="preserve">along the railway line </w:t>
            </w:r>
            <w:r w:rsidR="00066921">
              <w:rPr>
                <w:rFonts w:cs="Calibri"/>
                <w:color w:val="000000"/>
                <w:sz w:val="20"/>
                <w:szCs w:val="20"/>
              </w:rPr>
              <w:t>are consistent with</w:t>
            </w:r>
            <w:r w:rsidR="00191326">
              <w:rPr>
                <w:rFonts w:cs="Calibri"/>
                <w:color w:val="000000"/>
                <w:sz w:val="20"/>
                <w:szCs w:val="20"/>
              </w:rPr>
              <w:t xml:space="preserve"> that proposed for</w:t>
            </w:r>
            <w:r w:rsidR="00066921">
              <w:rPr>
                <w:rFonts w:cs="Calibri"/>
                <w:color w:val="000000"/>
                <w:sz w:val="20"/>
                <w:szCs w:val="20"/>
              </w:rPr>
              <w:t xml:space="preserve"> remainder of </w:t>
            </w:r>
            <w:r w:rsidR="00EF4AB3">
              <w:rPr>
                <w:rFonts w:cs="Calibri"/>
                <w:color w:val="000000"/>
                <w:sz w:val="20"/>
                <w:szCs w:val="20"/>
              </w:rPr>
              <w:t xml:space="preserve">Waterford to New Ross </w:t>
            </w:r>
            <w:r w:rsidR="00066921">
              <w:rPr>
                <w:rFonts w:cs="Calibri"/>
                <w:color w:val="000000"/>
                <w:sz w:val="20"/>
                <w:szCs w:val="20"/>
              </w:rPr>
              <w:t>greenway</w:t>
            </w:r>
            <w:r>
              <w:rPr>
                <w:rFonts w:cs="Calibri"/>
                <w:color w:val="000000"/>
                <w:sz w:val="20"/>
                <w:szCs w:val="20"/>
              </w:rPr>
              <w:t xml:space="preserve">. </w:t>
            </w:r>
          </w:p>
          <w:p w:rsidR="00FA09F3" w:rsidRDefault="00FA09F3" w:rsidP="00191326">
            <w:pPr>
              <w:autoSpaceDE w:val="0"/>
              <w:autoSpaceDN w:val="0"/>
              <w:adjustRightInd w:val="0"/>
              <w:spacing w:after="0" w:line="240" w:lineRule="auto"/>
              <w:rPr>
                <w:rFonts w:cs="Calibri"/>
                <w:color w:val="000000"/>
                <w:sz w:val="20"/>
                <w:szCs w:val="20"/>
              </w:rPr>
            </w:pPr>
          </w:p>
          <w:p w:rsidR="00FA09F3" w:rsidRPr="00E8792D" w:rsidRDefault="00FA09F3" w:rsidP="0012629F">
            <w:pPr>
              <w:autoSpaceDE w:val="0"/>
              <w:autoSpaceDN w:val="0"/>
              <w:adjustRightInd w:val="0"/>
              <w:spacing w:after="0" w:line="240" w:lineRule="auto"/>
              <w:rPr>
                <w:rFonts w:cs="Calibri"/>
                <w:color w:val="000000"/>
                <w:sz w:val="20"/>
                <w:szCs w:val="20"/>
              </w:rPr>
            </w:pPr>
            <w:r>
              <w:rPr>
                <w:rFonts w:cs="Calibri"/>
                <w:color w:val="000000"/>
                <w:sz w:val="20"/>
                <w:szCs w:val="20"/>
              </w:rPr>
              <w:t>The potential impact</w:t>
            </w:r>
            <w:r w:rsidR="0012629F">
              <w:rPr>
                <w:rFonts w:cs="Calibri"/>
                <w:color w:val="000000"/>
                <w:sz w:val="20"/>
                <w:szCs w:val="20"/>
              </w:rPr>
              <w:t xml:space="preserve"> and risks</w:t>
            </w:r>
            <w:r>
              <w:rPr>
                <w:rFonts w:cs="Calibri"/>
                <w:color w:val="000000"/>
                <w:sz w:val="20"/>
                <w:szCs w:val="20"/>
              </w:rPr>
              <w:t xml:space="preserve"> of </w:t>
            </w:r>
            <w:r w:rsidR="0012629F">
              <w:rPr>
                <w:rFonts w:cs="Calibri"/>
                <w:color w:val="000000"/>
                <w:sz w:val="20"/>
                <w:szCs w:val="20"/>
              </w:rPr>
              <w:t xml:space="preserve">such </w:t>
            </w:r>
            <w:r>
              <w:rPr>
                <w:rFonts w:cs="Calibri"/>
                <w:color w:val="000000"/>
                <w:sz w:val="20"/>
                <w:szCs w:val="20"/>
              </w:rPr>
              <w:t xml:space="preserve">works </w:t>
            </w:r>
            <w:r w:rsidR="00BA49B9">
              <w:rPr>
                <w:rFonts w:cs="Calibri"/>
                <w:color w:val="000000"/>
                <w:sz w:val="20"/>
                <w:szCs w:val="20"/>
              </w:rPr>
              <w:t>in the context to existing Natura 2000 sites are described under Table 2 and 3 of the Waterford to New Ross Greenway AA Screening Report.</w:t>
            </w:r>
            <w:r w:rsidR="004600EE">
              <w:rPr>
                <w:rFonts w:cs="Calibri"/>
                <w:color w:val="000000"/>
                <w:sz w:val="20"/>
                <w:szCs w:val="20"/>
              </w:rPr>
              <w:t xml:space="preserve"> All qualifying interests as outlined in the AA Screening report have been considered</w:t>
            </w:r>
            <w:r w:rsidR="0012629F">
              <w:rPr>
                <w:rFonts w:cs="Calibri"/>
                <w:color w:val="000000"/>
                <w:sz w:val="20"/>
                <w:szCs w:val="20"/>
              </w:rPr>
              <w:t>.</w:t>
            </w:r>
          </w:p>
        </w:tc>
        <w:tc>
          <w:tcPr>
            <w:tcW w:w="2332" w:type="dxa"/>
          </w:tcPr>
          <w:p w:rsidR="00393DB6" w:rsidRDefault="002105B1" w:rsidP="002105B1">
            <w:pPr>
              <w:autoSpaceDE w:val="0"/>
              <w:autoSpaceDN w:val="0"/>
              <w:adjustRightInd w:val="0"/>
              <w:spacing w:after="0" w:line="240" w:lineRule="auto"/>
              <w:rPr>
                <w:rFonts w:cs="Calibri"/>
                <w:color w:val="000000"/>
                <w:sz w:val="20"/>
                <w:szCs w:val="20"/>
              </w:rPr>
            </w:pPr>
            <w:r w:rsidRPr="00E8792D">
              <w:rPr>
                <w:rFonts w:cs="Calibri"/>
                <w:color w:val="000000"/>
                <w:sz w:val="20"/>
                <w:szCs w:val="20"/>
              </w:rPr>
              <w:t xml:space="preserve">Construction of proposed </w:t>
            </w:r>
            <w:r>
              <w:rPr>
                <w:rFonts w:cs="Calibri"/>
                <w:color w:val="000000"/>
                <w:sz w:val="20"/>
                <w:szCs w:val="20"/>
              </w:rPr>
              <w:t>greenway on the disused railway track at Ay</w:t>
            </w:r>
            <w:r w:rsidR="00066921">
              <w:rPr>
                <w:rFonts w:cs="Calibri"/>
                <w:color w:val="000000"/>
                <w:sz w:val="20"/>
                <w:szCs w:val="20"/>
              </w:rPr>
              <w:t>l</w:t>
            </w:r>
            <w:r>
              <w:rPr>
                <w:rFonts w:cs="Calibri"/>
                <w:color w:val="000000"/>
                <w:sz w:val="20"/>
                <w:szCs w:val="20"/>
              </w:rPr>
              <w:t>wardstown</w:t>
            </w:r>
            <w:r w:rsidRPr="00E8792D">
              <w:rPr>
                <w:rFonts w:cs="Calibri"/>
                <w:color w:val="000000"/>
                <w:sz w:val="20"/>
                <w:szCs w:val="20"/>
              </w:rPr>
              <w:t xml:space="preserve"> will not have a significant effect on the qualifying interests of the European sites as identified as the </w:t>
            </w:r>
            <w:r>
              <w:rPr>
                <w:rFonts w:cs="Calibri"/>
                <w:color w:val="000000"/>
                <w:sz w:val="20"/>
                <w:szCs w:val="20"/>
              </w:rPr>
              <w:t>nearest European site is</w:t>
            </w:r>
            <w:r w:rsidRPr="00E8792D">
              <w:rPr>
                <w:rFonts w:cs="Calibri"/>
                <w:color w:val="000000"/>
                <w:sz w:val="20"/>
                <w:szCs w:val="20"/>
              </w:rPr>
              <w:t xml:space="preserve"> located approx. </w:t>
            </w:r>
            <w:r w:rsidR="00191326">
              <w:rPr>
                <w:rFonts w:cs="Calibri"/>
                <w:color w:val="000000"/>
                <w:sz w:val="20"/>
                <w:szCs w:val="20"/>
              </w:rPr>
              <w:t>340</w:t>
            </w:r>
            <w:r>
              <w:rPr>
                <w:rFonts w:cs="Calibri"/>
                <w:color w:val="000000"/>
                <w:sz w:val="20"/>
                <w:szCs w:val="20"/>
              </w:rPr>
              <w:t>m away</w:t>
            </w:r>
            <w:r w:rsidRPr="00E8792D">
              <w:rPr>
                <w:rFonts w:cs="Calibri"/>
                <w:color w:val="000000"/>
                <w:sz w:val="20"/>
                <w:szCs w:val="20"/>
              </w:rPr>
              <w:t xml:space="preserve"> from </w:t>
            </w:r>
            <w:r>
              <w:rPr>
                <w:rFonts w:cs="Calibri"/>
                <w:color w:val="000000"/>
                <w:sz w:val="20"/>
                <w:szCs w:val="20"/>
              </w:rPr>
              <w:t>this site</w:t>
            </w:r>
            <w:r w:rsidRPr="00E8792D">
              <w:rPr>
                <w:rFonts w:cs="Calibri"/>
                <w:color w:val="000000"/>
                <w:sz w:val="20"/>
                <w:szCs w:val="20"/>
              </w:rPr>
              <w:t>.</w:t>
            </w:r>
          </w:p>
          <w:p w:rsidR="0012629F" w:rsidRDefault="0012629F" w:rsidP="002105B1">
            <w:pPr>
              <w:autoSpaceDE w:val="0"/>
              <w:autoSpaceDN w:val="0"/>
              <w:adjustRightInd w:val="0"/>
              <w:spacing w:after="0" w:line="240" w:lineRule="auto"/>
              <w:rPr>
                <w:rFonts w:cs="Calibri"/>
                <w:color w:val="000000"/>
                <w:sz w:val="20"/>
                <w:szCs w:val="20"/>
              </w:rPr>
            </w:pPr>
          </w:p>
          <w:p w:rsidR="0012629F" w:rsidRPr="00E8792D" w:rsidRDefault="0012629F" w:rsidP="0012629F">
            <w:pPr>
              <w:autoSpaceDE w:val="0"/>
              <w:autoSpaceDN w:val="0"/>
              <w:adjustRightInd w:val="0"/>
              <w:spacing w:after="0" w:line="240" w:lineRule="auto"/>
              <w:rPr>
                <w:rFonts w:cs="Calibri"/>
                <w:color w:val="000000"/>
                <w:sz w:val="20"/>
                <w:szCs w:val="20"/>
              </w:rPr>
            </w:pPr>
            <w:r>
              <w:rPr>
                <w:rFonts w:cs="Calibri"/>
                <w:color w:val="000000"/>
                <w:sz w:val="20"/>
                <w:szCs w:val="20"/>
              </w:rPr>
              <w:t>No likely significant effect</w:t>
            </w:r>
            <w:r w:rsidR="00050FFE">
              <w:rPr>
                <w:rFonts w:cs="Calibri"/>
                <w:color w:val="000000"/>
                <w:sz w:val="20"/>
                <w:szCs w:val="20"/>
              </w:rPr>
              <w:t xml:space="preserve"> are</w:t>
            </w:r>
            <w:r>
              <w:rPr>
                <w:rFonts w:cs="Calibri"/>
                <w:color w:val="000000"/>
                <w:sz w:val="20"/>
                <w:szCs w:val="20"/>
              </w:rPr>
              <w:t xml:space="preserve"> anticipated.</w:t>
            </w:r>
          </w:p>
        </w:tc>
      </w:tr>
    </w:tbl>
    <w:p w:rsidR="00B47BA1" w:rsidRPr="009A5477" w:rsidRDefault="00B47BA1" w:rsidP="006D48DE">
      <w:pPr>
        <w:rPr>
          <w:rStyle w:val="Strong"/>
          <w:b w:val="0"/>
          <w:bCs w:val="0"/>
        </w:rPr>
      </w:pPr>
    </w:p>
    <w:p w:rsidR="0077041A" w:rsidRDefault="004600EE" w:rsidP="004600EE">
      <w:pPr>
        <w:pStyle w:val="Heading1"/>
        <w:numPr>
          <w:ilvl w:val="0"/>
          <w:numId w:val="0"/>
        </w:numPr>
        <w:ind w:left="432" w:hanging="432"/>
      </w:pPr>
      <w:r>
        <w:t xml:space="preserve">4. </w:t>
      </w:r>
      <w:r w:rsidR="0077041A">
        <w:t>In-combination effects with other plans and programmes</w:t>
      </w:r>
    </w:p>
    <w:p w:rsidR="000713EB" w:rsidRPr="00E8792D" w:rsidRDefault="000713EB" w:rsidP="004F0D7E">
      <w:r w:rsidRPr="00E8792D">
        <w:t xml:space="preserve">Cumulative impact assessment aims to identify at an early stage any possible significant in-combination or cumulative effects/impacts with other such plans or projects on the integrity of European Sites. </w:t>
      </w:r>
      <w:r w:rsidR="004F0D7E" w:rsidRPr="00E8792D">
        <w:t xml:space="preserve"> </w:t>
      </w:r>
      <w:r w:rsidRPr="00E8792D">
        <w:t xml:space="preserve">Plans and projects with the potential to lead to cumulative impacts in combination with were </w:t>
      </w:r>
      <w:r w:rsidR="0057672F">
        <w:t>addressed</w:t>
      </w:r>
      <w:r w:rsidRPr="00E8792D">
        <w:t xml:space="preserve"> in the Screening for AA published with the </w:t>
      </w:r>
      <w:r w:rsidR="005E5C8C">
        <w:t>Waterford to New Ross Greenway</w:t>
      </w:r>
      <w:r w:rsidR="005E5C8C" w:rsidRPr="00E8792D">
        <w:t xml:space="preserve"> </w:t>
      </w:r>
      <w:r w:rsidRPr="00E8792D">
        <w:t>and an assessment in relation to each presented. It is expected that the Proposed Material Alterations as set out above, will not lead to in-combination impacts with other plans and programmes.</w:t>
      </w:r>
    </w:p>
    <w:p w:rsidR="000713EB" w:rsidRPr="00E8792D" w:rsidRDefault="004600EE" w:rsidP="004600EE">
      <w:pPr>
        <w:pStyle w:val="Heading1"/>
        <w:numPr>
          <w:ilvl w:val="0"/>
          <w:numId w:val="0"/>
        </w:numPr>
        <w:ind w:left="432" w:hanging="432"/>
        <w:rPr>
          <w:rFonts w:asciiTheme="minorHAnsi" w:hAnsiTheme="minorHAnsi"/>
        </w:rPr>
      </w:pPr>
      <w:r>
        <w:rPr>
          <w:rFonts w:asciiTheme="minorHAnsi" w:hAnsiTheme="minorHAnsi"/>
        </w:rPr>
        <w:t xml:space="preserve">5. </w:t>
      </w:r>
      <w:r w:rsidR="00E05DD7">
        <w:rPr>
          <w:rFonts w:asciiTheme="minorHAnsi" w:hAnsiTheme="minorHAnsi"/>
        </w:rPr>
        <w:t>Screening and Conclusions</w:t>
      </w:r>
    </w:p>
    <w:p w:rsidR="000713EB" w:rsidRPr="00E8792D" w:rsidRDefault="000713EB" w:rsidP="004F0D7E">
      <w:r w:rsidRPr="00E8792D">
        <w:t xml:space="preserve">The likely impacts that will arise from </w:t>
      </w:r>
      <w:r w:rsidR="00191326">
        <w:t xml:space="preserve">proposed </w:t>
      </w:r>
      <w:r w:rsidR="0012629F">
        <w:t>development</w:t>
      </w:r>
      <w:r w:rsidR="00191326">
        <w:t xml:space="preserve"> for</w:t>
      </w:r>
      <w:r w:rsidR="005E5C8C">
        <w:t xml:space="preserve"> a </w:t>
      </w:r>
      <w:r w:rsidR="005607A7">
        <w:t xml:space="preserve">small </w:t>
      </w:r>
      <w:r w:rsidR="005E5C8C">
        <w:t xml:space="preserve">section of Greenway at </w:t>
      </w:r>
      <w:r w:rsidR="005E5C8C" w:rsidRPr="00B7571B">
        <w:t>Ay</w:t>
      </w:r>
      <w:r w:rsidR="005E5C8C">
        <w:t>lwardstown</w:t>
      </w:r>
      <w:r w:rsidR="005E5C8C" w:rsidRPr="00E8792D">
        <w:t xml:space="preserve"> </w:t>
      </w:r>
      <w:r w:rsidRPr="00E8792D">
        <w:t xml:space="preserve">alone and in combination with other plans and programmes have been examined in the context of a number of factors that could potentially have a significant effect on European Sites. </w:t>
      </w:r>
      <w:r w:rsidR="004F0D7E" w:rsidRPr="00E8792D">
        <w:t xml:space="preserve"> </w:t>
      </w:r>
      <w:r w:rsidR="005607A7">
        <w:t>The proposed</w:t>
      </w:r>
      <w:r w:rsidRPr="00E8792D">
        <w:t xml:space="preserve"> </w:t>
      </w:r>
      <w:r w:rsidR="0012629F">
        <w:t>development</w:t>
      </w:r>
      <w:r w:rsidRPr="00E8792D">
        <w:t xml:space="preserve"> has now been assessed. It is determined that no European site within 15km of the </w:t>
      </w:r>
      <w:r w:rsidR="005607A7">
        <w:t>proposed development area</w:t>
      </w:r>
      <w:r w:rsidRPr="00E8792D">
        <w:t xml:space="preserve"> will be adversely affected. It is also considered unlikely that hydrologically connected European sites, outside the 15km range, will be adversely affected. </w:t>
      </w:r>
    </w:p>
    <w:p w:rsidR="000713EB" w:rsidRPr="0012629F" w:rsidRDefault="0012629F" w:rsidP="004F0D7E">
      <w:pPr>
        <w:rPr>
          <w:rFonts w:cs="Arial"/>
          <w:bCs/>
        </w:rPr>
      </w:pPr>
      <w:r w:rsidRPr="0012629F">
        <w:rPr>
          <w:rStyle w:val="Strong"/>
          <w:rFonts w:cs="Arial"/>
          <w:b w:val="0"/>
        </w:rPr>
        <w:t xml:space="preserve">It is considered that due to the distance of the proposed development from the Lower River Suir SAC and River Nore Barrow SAC and the nature of the works </w:t>
      </w:r>
      <w:r>
        <w:rPr>
          <w:rStyle w:val="Strong"/>
          <w:rFonts w:cs="Arial"/>
          <w:b w:val="0"/>
        </w:rPr>
        <w:t xml:space="preserve">proposed </w:t>
      </w:r>
      <w:r w:rsidRPr="0012629F">
        <w:rPr>
          <w:rStyle w:val="Strong"/>
          <w:rFonts w:cs="Arial"/>
          <w:b w:val="0"/>
        </w:rPr>
        <w:t>there is no potential for significant environmental effects either alone or in combination with other plans / projects on any Natura 2000 site.</w:t>
      </w:r>
    </w:p>
    <w:p w:rsidR="000713EB" w:rsidRDefault="000713EB" w:rsidP="004F0D7E">
      <w:pPr>
        <w:rPr>
          <w:rFonts w:cs="Calibri"/>
        </w:rPr>
      </w:pPr>
      <w:r w:rsidRPr="00E8792D">
        <w:rPr>
          <w:rFonts w:cs="Calibri"/>
        </w:rPr>
        <w:t xml:space="preserve">On the basis of the findings of this Screening for Appropriate Assessment of the Proposed </w:t>
      </w:r>
      <w:r w:rsidR="0012629F">
        <w:rPr>
          <w:rFonts w:cs="Calibri"/>
        </w:rPr>
        <w:t>development</w:t>
      </w:r>
      <w:r w:rsidR="005607A7">
        <w:rPr>
          <w:rFonts w:cs="Calibri"/>
        </w:rPr>
        <w:t>, it is concluded that the Waterford to New Ross Greenway at Aylwardstown</w:t>
      </w:r>
      <w:r w:rsidR="005607A7" w:rsidRPr="00E8792D">
        <w:rPr>
          <w:rFonts w:cs="Calibri"/>
        </w:rPr>
        <w:t xml:space="preserve"> </w:t>
      </w:r>
      <w:r w:rsidRPr="00E8792D">
        <w:rPr>
          <w:rFonts w:cs="Calibri"/>
        </w:rPr>
        <w:t>will not have a significant effect on European Sites and a Stage 2 Appropriate Assessment is not required.</w:t>
      </w:r>
    </w:p>
    <w:p w:rsidR="00930CF7" w:rsidRDefault="00930CF7" w:rsidP="004F0D7E">
      <w:pPr>
        <w:rPr>
          <w:rFonts w:cs="Calibri"/>
        </w:rPr>
      </w:pPr>
    </w:p>
    <w:p w:rsidR="00050FFE" w:rsidRDefault="00050FFE" w:rsidP="004F0D7E">
      <w:pPr>
        <w:rPr>
          <w:rFonts w:cs="Calibri"/>
        </w:rPr>
      </w:pPr>
    </w:p>
    <w:p w:rsidR="00050FFE" w:rsidRPr="00050FFE" w:rsidRDefault="00050FFE" w:rsidP="004F0D7E">
      <w:pPr>
        <w:rPr>
          <w:rFonts w:cs="Calibri"/>
          <w:b/>
          <w:i/>
          <w:u w:val="single"/>
        </w:rPr>
      </w:pPr>
      <w:r w:rsidRPr="00050FFE">
        <w:rPr>
          <w:rFonts w:cs="Calibri"/>
          <w:b/>
          <w:i/>
          <w:u w:val="single"/>
        </w:rPr>
        <w:t>Ross O’Shea 11/01/2018</w:t>
      </w:r>
    </w:p>
    <w:p w:rsidR="00050FFE" w:rsidRDefault="00050FFE" w:rsidP="004F0D7E">
      <w:pPr>
        <w:rPr>
          <w:rFonts w:cs="Calibri"/>
        </w:rPr>
      </w:pPr>
      <w:r>
        <w:rPr>
          <w:rFonts w:cs="Calibri"/>
        </w:rPr>
        <w:t>Executive Planner</w:t>
      </w:r>
    </w:p>
    <w:p w:rsidR="00A05C8C" w:rsidRDefault="00A05C8C" w:rsidP="004F0D7E">
      <w:pPr>
        <w:rPr>
          <w:rFonts w:cs="Calibri"/>
        </w:rPr>
      </w:pPr>
    </w:p>
    <w:p w:rsidR="00050FFE" w:rsidRPr="00F43F00" w:rsidRDefault="00A05C8C" w:rsidP="004F0D7E">
      <w:pPr>
        <w:rPr>
          <w:rFonts w:cs="Calibri"/>
          <w:b/>
          <w:i/>
          <w:u w:val="single"/>
        </w:rPr>
      </w:pPr>
      <w:r w:rsidRPr="00F43F00">
        <w:rPr>
          <w:rFonts w:cs="Calibri"/>
          <w:b/>
          <w:i/>
          <w:u w:val="single"/>
        </w:rPr>
        <w:t>Denis Malone 11/01/2018</w:t>
      </w:r>
    </w:p>
    <w:p w:rsidR="00050FFE" w:rsidRDefault="00050FFE" w:rsidP="004F0D7E">
      <w:pPr>
        <w:rPr>
          <w:rFonts w:cs="Calibri"/>
        </w:rPr>
      </w:pPr>
      <w:r>
        <w:rPr>
          <w:rFonts w:cs="Calibri"/>
        </w:rPr>
        <w:t>Senior Planner</w:t>
      </w:r>
    </w:p>
    <w:sectPr w:rsidR="00050FFE" w:rsidSect="00A435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D3" w:rsidRDefault="00976CD3" w:rsidP="00E8792D">
      <w:pPr>
        <w:spacing w:after="0" w:line="240" w:lineRule="auto"/>
      </w:pPr>
      <w:r>
        <w:separator/>
      </w:r>
    </w:p>
  </w:endnote>
  <w:endnote w:type="continuationSeparator" w:id="0">
    <w:p w:rsidR="00976CD3" w:rsidRDefault="00976CD3" w:rsidP="00E87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D3" w:rsidRDefault="00976CD3" w:rsidP="00E8792D">
      <w:pPr>
        <w:spacing w:after="0" w:line="240" w:lineRule="auto"/>
      </w:pPr>
      <w:r>
        <w:separator/>
      </w:r>
    </w:p>
  </w:footnote>
  <w:footnote w:type="continuationSeparator" w:id="0">
    <w:p w:rsidR="00976CD3" w:rsidRDefault="00976CD3" w:rsidP="00E87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EE" w:rsidRDefault="004600EE">
    <w:pPr>
      <w:pStyle w:val="Header"/>
    </w:pPr>
  </w:p>
  <w:p w:rsidR="004600EE" w:rsidRDefault="004600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5ADE"/>
    <w:multiLevelType w:val="hybridMultilevel"/>
    <w:tmpl w:val="616E4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4348BC"/>
    <w:multiLevelType w:val="hybridMultilevel"/>
    <w:tmpl w:val="B39CE3A4"/>
    <w:lvl w:ilvl="0" w:tplc="211C9A9A">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AF2935"/>
    <w:multiLevelType w:val="hybridMultilevel"/>
    <w:tmpl w:val="465CAD2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E450F3C"/>
    <w:multiLevelType w:val="hybridMultilevel"/>
    <w:tmpl w:val="5A2E0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FAA30C8"/>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B80262A"/>
    <w:multiLevelType w:val="hybridMultilevel"/>
    <w:tmpl w:val="9FF4D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ED04D3"/>
    <w:multiLevelType w:val="hybridMultilevel"/>
    <w:tmpl w:val="A4A039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69E14C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65320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4"/>
  </w:num>
  <w:num w:numId="4">
    <w:abstractNumId w:val="5"/>
  </w:num>
  <w:num w:numId="5">
    <w:abstractNumId w:val="1"/>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0ADD"/>
    <w:rsid w:val="00002CC1"/>
    <w:rsid w:val="00033415"/>
    <w:rsid w:val="00050FFE"/>
    <w:rsid w:val="00066921"/>
    <w:rsid w:val="00071011"/>
    <w:rsid w:val="000713EB"/>
    <w:rsid w:val="000725CC"/>
    <w:rsid w:val="00085550"/>
    <w:rsid w:val="00086F39"/>
    <w:rsid w:val="000C03AB"/>
    <w:rsid w:val="000C4599"/>
    <w:rsid w:val="000D539B"/>
    <w:rsid w:val="00100363"/>
    <w:rsid w:val="00116C90"/>
    <w:rsid w:val="00123641"/>
    <w:rsid w:val="0012629F"/>
    <w:rsid w:val="0015466D"/>
    <w:rsid w:val="00191326"/>
    <w:rsid w:val="0019486F"/>
    <w:rsid w:val="001A7DB4"/>
    <w:rsid w:val="001D45CA"/>
    <w:rsid w:val="001F2142"/>
    <w:rsid w:val="002105B1"/>
    <w:rsid w:val="00250B5A"/>
    <w:rsid w:val="002564DB"/>
    <w:rsid w:val="002E102D"/>
    <w:rsid w:val="002F7B8E"/>
    <w:rsid w:val="00305D5D"/>
    <w:rsid w:val="003211C3"/>
    <w:rsid w:val="00393DB6"/>
    <w:rsid w:val="00396362"/>
    <w:rsid w:val="003D0819"/>
    <w:rsid w:val="003F18AC"/>
    <w:rsid w:val="00422A9A"/>
    <w:rsid w:val="00437B8D"/>
    <w:rsid w:val="00456973"/>
    <w:rsid w:val="004600EE"/>
    <w:rsid w:val="004B1E6B"/>
    <w:rsid w:val="004F0D7E"/>
    <w:rsid w:val="005607A7"/>
    <w:rsid w:val="00561440"/>
    <w:rsid w:val="0057672F"/>
    <w:rsid w:val="00577A20"/>
    <w:rsid w:val="005B09E3"/>
    <w:rsid w:val="005D1FBD"/>
    <w:rsid w:val="005E5C8C"/>
    <w:rsid w:val="00620388"/>
    <w:rsid w:val="0067658C"/>
    <w:rsid w:val="00681459"/>
    <w:rsid w:val="006C660F"/>
    <w:rsid w:val="006D48DE"/>
    <w:rsid w:val="006D78FD"/>
    <w:rsid w:val="007077B1"/>
    <w:rsid w:val="00720946"/>
    <w:rsid w:val="0072550C"/>
    <w:rsid w:val="007422ED"/>
    <w:rsid w:val="0077041A"/>
    <w:rsid w:val="007B0983"/>
    <w:rsid w:val="007B255F"/>
    <w:rsid w:val="007C7111"/>
    <w:rsid w:val="007D0FFD"/>
    <w:rsid w:val="007F0ADD"/>
    <w:rsid w:val="00811C93"/>
    <w:rsid w:val="00823968"/>
    <w:rsid w:val="0085480B"/>
    <w:rsid w:val="008653BE"/>
    <w:rsid w:val="008B3EA2"/>
    <w:rsid w:val="008C7B1B"/>
    <w:rsid w:val="008D67F4"/>
    <w:rsid w:val="00930CF7"/>
    <w:rsid w:val="00966748"/>
    <w:rsid w:val="00976CD3"/>
    <w:rsid w:val="00980775"/>
    <w:rsid w:val="00997EAA"/>
    <w:rsid w:val="009A5477"/>
    <w:rsid w:val="009B64A5"/>
    <w:rsid w:val="009C758A"/>
    <w:rsid w:val="009E5A98"/>
    <w:rsid w:val="00A05C8C"/>
    <w:rsid w:val="00A237B0"/>
    <w:rsid w:val="00A34DFD"/>
    <w:rsid w:val="00A43518"/>
    <w:rsid w:val="00A874FA"/>
    <w:rsid w:val="00AF4A19"/>
    <w:rsid w:val="00AF6A5D"/>
    <w:rsid w:val="00B47BA1"/>
    <w:rsid w:val="00B76023"/>
    <w:rsid w:val="00BA35AE"/>
    <w:rsid w:val="00BA49B9"/>
    <w:rsid w:val="00C2314B"/>
    <w:rsid w:val="00C4283A"/>
    <w:rsid w:val="00C638C4"/>
    <w:rsid w:val="00C77FB6"/>
    <w:rsid w:val="00C8029E"/>
    <w:rsid w:val="00C97384"/>
    <w:rsid w:val="00CB384D"/>
    <w:rsid w:val="00D119A0"/>
    <w:rsid w:val="00D413ED"/>
    <w:rsid w:val="00D710A3"/>
    <w:rsid w:val="00D97E4F"/>
    <w:rsid w:val="00DC0562"/>
    <w:rsid w:val="00DC76AE"/>
    <w:rsid w:val="00E05DD7"/>
    <w:rsid w:val="00E537EB"/>
    <w:rsid w:val="00E8792D"/>
    <w:rsid w:val="00EB0E4C"/>
    <w:rsid w:val="00EC77A9"/>
    <w:rsid w:val="00EF4AB3"/>
    <w:rsid w:val="00F43F00"/>
    <w:rsid w:val="00F669D4"/>
    <w:rsid w:val="00FA09F3"/>
    <w:rsid w:val="00FA3121"/>
    <w:rsid w:val="00FD2D0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23"/>
    <w:pPr>
      <w:jc w:val="both"/>
    </w:pPr>
  </w:style>
  <w:style w:type="paragraph" w:styleId="Heading1">
    <w:name w:val="heading 1"/>
    <w:basedOn w:val="Normal"/>
    <w:next w:val="Normal"/>
    <w:link w:val="Heading1Char"/>
    <w:uiPriority w:val="9"/>
    <w:qFormat/>
    <w:rsid w:val="007F0ADD"/>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ADD"/>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13E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13E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3E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13E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13E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13E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13E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ADD"/>
    <w:pPr>
      <w:autoSpaceDE w:val="0"/>
      <w:autoSpaceDN w:val="0"/>
      <w:adjustRightInd w:val="0"/>
      <w:spacing w:after="0" w:line="240" w:lineRule="auto"/>
    </w:pPr>
    <w:rPr>
      <w:rFonts w:ascii="Corbel" w:hAnsi="Corbel" w:cs="Corbel"/>
      <w:color w:val="000000"/>
      <w:sz w:val="24"/>
      <w:szCs w:val="24"/>
    </w:rPr>
  </w:style>
  <w:style w:type="character" w:customStyle="1" w:styleId="Heading1Char">
    <w:name w:val="Heading 1 Char"/>
    <w:basedOn w:val="DefaultParagraphFont"/>
    <w:link w:val="Heading1"/>
    <w:uiPriority w:val="9"/>
    <w:rsid w:val="007F0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ADD"/>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76023"/>
    <w:pPr>
      <w:spacing w:after="0" w:line="240" w:lineRule="auto"/>
    </w:pPr>
  </w:style>
  <w:style w:type="character" w:customStyle="1" w:styleId="Heading3Char">
    <w:name w:val="Heading 3 Char"/>
    <w:basedOn w:val="DefaultParagraphFont"/>
    <w:link w:val="Heading3"/>
    <w:uiPriority w:val="9"/>
    <w:semiHidden/>
    <w:rsid w:val="000713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13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13E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13E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13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13E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13E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8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92D"/>
  </w:style>
  <w:style w:type="paragraph" w:styleId="Footer">
    <w:name w:val="footer"/>
    <w:basedOn w:val="Normal"/>
    <w:link w:val="FooterChar"/>
    <w:uiPriority w:val="99"/>
    <w:semiHidden/>
    <w:unhideWhenUsed/>
    <w:rsid w:val="00E879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792D"/>
  </w:style>
  <w:style w:type="paragraph" w:styleId="BalloonText">
    <w:name w:val="Balloon Text"/>
    <w:basedOn w:val="Normal"/>
    <w:link w:val="BalloonTextChar"/>
    <w:uiPriority w:val="99"/>
    <w:semiHidden/>
    <w:unhideWhenUsed/>
    <w:rsid w:val="00E8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92D"/>
    <w:rPr>
      <w:rFonts w:ascii="Tahoma" w:hAnsi="Tahoma" w:cs="Tahoma"/>
      <w:sz w:val="16"/>
      <w:szCs w:val="16"/>
    </w:rPr>
  </w:style>
  <w:style w:type="character" w:customStyle="1" w:styleId="NoSpacingChar">
    <w:name w:val="No Spacing Char"/>
    <w:basedOn w:val="DefaultParagraphFont"/>
    <w:link w:val="NoSpacing"/>
    <w:uiPriority w:val="1"/>
    <w:rsid w:val="00393DB6"/>
  </w:style>
  <w:style w:type="paragraph" w:styleId="ListParagraph">
    <w:name w:val="List Paragraph"/>
    <w:basedOn w:val="Normal"/>
    <w:uiPriority w:val="34"/>
    <w:qFormat/>
    <w:rsid w:val="007D0FFD"/>
    <w:pPr>
      <w:ind w:left="720"/>
      <w:contextualSpacing/>
    </w:pPr>
  </w:style>
  <w:style w:type="table" w:customStyle="1" w:styleId="DevPlan">
    <w:name w:val="DevPlan"/>
    <w:basedOn w:val="TableNormal"/>
    <w:uiPriority w:val="99"/>
    <w:qFormat/>
    <w:rsid w:val="005B09E3"/>
    <w:pPr>
      <w:spacing w:after="0" w:line="240" w:lineRule="auto"/>
      <w:jc w:val="center"/>
    </w:pPr>
    <w:rPr>
      <w:rFonts w:ascii="Calibri" w:hAnsi="Calibri"/>
    </w:rPr>
    <w:tblPr>
      <w:tblInd w:w="0" w:type="dxa"/>
      <w:tblBorders>
        <w:top w:val="single" w:sz="2" w:space="0" w:color="C0504D" w:themeColor="accent2"/>
        <w:left w:val="single" w:sz="2" w:space="0" w:color="C0504D" w:themeColor="accent2"/>
        <w:bottom w:val="single" w:sz="2" w:space="0" w:color="C0504D" w:themeColor="accent2"/>
        <w:right w:val="single" w:sz="2" w:space="0" w:color="C0504D" w:themeColor="accent2"/>
        <w:insideH w:val="single" w:sz="2" w:space="0" w:color="C0504D" w:themeColor="accent2"/>
        <w:insideV w:val="single" w:sz="2" w:space="0" w:color="C0504D" w:themeColor="accent2"/>
      </w:tblBorders>
      <w:tblCellMar>
        <w:top w:w="0" w:type="dxa"/>
        <w:left w:w="108" w:type="dxa"/>
        <w:bottom w:w="0" w:type="dxa"/>
        <w:right w:w="108" w:type="dxa"/>
      </w:tblCellMar>
    </w:tblPr>
    <w:tcPr>
      <w:shd w:val="clear" w:color="auto" w:fill="auto"/>
    </w:tcPr>
    <w:tblStylePr w:type="firstRow">
      <w:pPr>
        <w:jc w:val="center"/>
      </w:pPr>
      <w:rPr>
        <w:rFonts w:ascii="Calibri" w:hAnsi="Calibri"/>
        <w:b/>
        <w:color w:val="FFFFFF" w:themeColor="background1"/>
      </w:rPr>
      <w:tblPr/>
      <w:tcPr>
        <w:shd w:val="clear" w:color="auto" w:fill="943634" w:themeFill="accent2" w:themeFillShade="BF"/>
      </w:tcPr>
    </w:tblStylePr>
  </w:style>
  <w:style w:type="paragraph" w:styleId="Caption">
    <w:name w:val="caption"/>
    <w:basedOn w:val="Normal"/>
    <w:next w:val="Normal"/>
    <w:link w:val="CaptionChar"/>
    <w:qFormat/>
    <w:rsid w:val="005B09E3"/>
    <w:pPr>
      <w:spacing w:after="120" w:line="240" w:lineRule="auto"/>
    </w:pPr>
    <w:rPr>
      <w:b/>
      <w:bCs/>
      <w:sz w:val="24"/>
      <w:szCs w:val="20"/>
    </w:rPr>
  </w:style>
  <w:style w:type="character" w:customStyle="1" w:styleId="CaptionChar">
    <w:name w:val="Caption Char"/>
    <w:link w:val="Caption"/>
    <w:rsid w:val="005B09E3"/>
    <w:rPr>
      <w:b/>
      <w:bCs/>
      <w:sz w:val="24"/>
      <w:szCs w:val="20"/>
    </w:rPr>
  </w:style>
  <w:style w:type="character" w:styleId="Strong">
    <w:name w:val="Strong"/>
    <w:basedOn w:val="DefaultParagraphFont"/>
    <w:qFormat/>
    <w:rsid w:val="00250B5A"/>
    <w:rPr>
      <w:b/>
      <w:bCs/>
    </w:rPr>
  </w:style>
</w:styles>
</file>

<file path=word/webSettings.xml><?xml version="1.0" encoding="utf-8"?>
<w:webSettings xmlns:r="http://schemas.openxmlformats.org/officeDocument/2006/relationships" xmlns:w="http://schemas.openxmlformats.org/wordprocessingml/2006/main">
  <w:divs>
    <w:div w:id="17617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E9978-D015-44C9-8974-87787704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dc:creator>
  <cp:lastModifiedBy>cgoodwin</cp:lastModifiedBy>
  <cp:revision>2</cp:revision>
  <cp:lastPrinted>2018-01-12T09:53:00Z</cp:lastPrinted>
  <dcterms:created xsi:type="dcterms:W3CDTF">2018-01-12T10:54:00Z</dcterms:created>
  <dcterms:modified xsi:type="dcterms:W3CDTF">2018-01-12T10:54:00Z</dcterms:modified>
</cp:coreProperties>
</file>